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22" focussize="0,0" recolor="t" r:id="rId4"/>
    </v:background>
  </w:background>
  <w:body>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二〇二〇闵行区图书馆情况年报</w:t>
      </w:r>
    </w:p>
    <w:p>
      <w:pPr>
        <w:spacing w:line="360" w:lineRule="auto"/>
        <w:rPr>
          <w:rFonts w:ascii="微软雅黑" w:hAnsi="微软雅黑" w:eastAsia="微软雅黑"/>
          <w:sz w:val="24"/>
          <w:szCs w:val="24"/>
        </w:rPr>
      </w:pPr>
      <w:r>
        <w:rPr>
          <w:rFonts w:hint="eastAsia" w:ascii="微软雅黑" w:hAnsi="微软雅黑" w:eastAsia="微软雅黑"/>
          <w:sz w:val="24"/>
          <w:szCs w:val="24"/>
        </w:rPr>
        <w:t>目录</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一、闵行区图书馆二〇二〇年度计划</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二、闵行区图书馆二〇二〇年度总结</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三、大事记</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四、二〇二〇年度社会责任报告</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五、工作人员及工作培训</w:t>
      </w:r>
    </w:p>
    <w:p>
      <w:pPr>
        <w:spacing w:line="360" w:lineRule="auto"/>
        <w:rPr>
          <w:rFonts w:ascii="微软雅黑" w:hAnsi="微软雅黑" w:eastAsia="微软雅黑"/>
          <w:szCs w:val="21"/>
        </w:rPr>
      </w:pPr>
      <w:r>
        <w:rPr>
          <w:rFonts w:hint="eastAsia" w:ascii="微软雅黑" w:hAnsi="微软雅黑" w:eastAsia="微软雅黑"/>
          <w:szCs w:val="21"/>
        </w:rPr>
        <w:t>1．基础信息</w:t>
      </w:r>
    </w:p>
    <w:p>
      <w:pPr>
        <w:spacing w:line="360" w:lineRule="auto"/>
        <w:rPr>
          <w:rFonts w:ascii="微软雅黑" w:hAnsi="微软雅黑" w:eastAsia="微软雅黑"/>
          <w:szCs w:val="21"/>
        </w:rPr>
      </w:pPr>
      <w:r>
        <w:rPr>
          <w:rFonts w:hint="eastAsia" w:ascii="微软雅黑" w:hAnsi="微软雅黑" w:eastAsia="微软雅黑"/>
          <w:szCs w:val="21"/>
        </w:rPr>
        <w:t>2 . 机构设置</w:t>
      </w:r>
    </w:p>
    <w:p>
      <w:pPr>
        <w:spacing w:line="360" w:lineRule="auto"/>
        <w:rPr>
          <w:rFonts w:ascii="微软雅黑" w:hAnsi="微软雅黑" w:eastAsia="微软雅黑"/>
          <w:szCs w:val="21"/>
        </w:rPr>
      </w:pPr>
      <w:r>
        <w:rPr>
          <w:rFonts w:hint="eastAsia" w:ascii="微软雅黑" w:hAnsi="微软雅黑" w:eastAsia="微软雅黑"/>
          <w:szCs w:val="21"/>
        </w:rPr>
        <w:t>3．工作培训</w:t>
      </w:r>
    </w:p>
    <w:p>
      <w:pPr>
        <w:spacing w:line="360" w:lineRule="auto"/>
        <w:rPr>
          <w:rFonts w:ascii="微软雅黑" w:hAnsi="微软雅黑" w:eastAsia="微软雅黑"/>
          <w:szCs w:val="21"/>
        </w:rPr>
      </w:pPr>
      <w:r>
        <w:rPr>
          <w:rFonts w:hint="eastAsia" w:ascii="微软雅黑" w:hAnsi="微软雅黑" w:eastAsia="微软雅黑"/>
          <w:szCs w:val="21"/>
        </w:rPr>
        <w:t>4．志愿者</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六、场地面积及设施建设</w:t>
      </w:r>
    </w:p>
    <w:p>
      <w:pPr>
        <w:spacing w:line="360" w:lineRule="auto"/>
        <w:rPr>
          <w:rFonts w:ascii="微软雅黑" w:hAnsi="微软雅黑" w:eastAsia="微软雅黑"/>
          <w:szCs w:val="21"/>
        </w:rPr>
      </w:pPr>
      <w:r>
        <w:rPr>
          <w:rFonts w:hint="eastAsia" w:ascii="微软雅黑" w:hAnsi="微软雅黑" w:eastAsia="微软雅黑"/>
          <w:szCs w:val="21"/>
        </w:rPr>
        <w:t>1．面积汇总</w:t>
      </w:r>
    </w:p>
    <w:p>
      <w:pPr>
        <w:spacing w:line="360" w:lineRule="auto"/>
        <w:rPr>
          <w:rFonts w:ascii="微软雅黑" w:hAnsi="微软雅黑" w:eastAsia="微软雅黑"/>
          <w:szCs w:val="21"/>
        </w:rPr>
      </w:pPr>
      <w:r>
        <w:rPr>
          <w:rFonts w:hint="eastAsia" w:ascii="微软雅黑" w:hAnsi="微软雅黑" w:eastAsia="微软雅黑"/>
          <w:szCs w:val="21"/>
        </w:rPr>
        <w:t>2. 阅览室座席数</w:t>
      </w:r>
    </w:p>
    <w:p>
      <w:pPr>
        <w:spacing w:line="360" w:lineRule="auto"/>
        <w:rPr>
          <w:rFonts w:ascii="微软雅黑" w:hAnsi="微软雅黑" w:eastAsia="微软雅黑"/>
          <w:szCs w:val="21"/>
        </w:rPr>
      </w:pPr>
      <w:r>
        <w:rPr>
          <w:rFonts w:hint="eastAsia" w:ascii="微软雅黑" w:hAnsi="微软雅黑" w:eastAsia="微软雅黑"/>
          <w:szCs w:val="21"/>
        </w:rPr>
        <w:t>3. 触摸媒体</w:t>
      </w:r>
    </w:p>
    <w:p>
      <w:pPr>
        <w:spacing w:line="360" w:lineRule="auto"/>
        <w:rPr>
          <w:rFonts w:ascii="微软雅黑" w:hAnsi="微软雅黑" w:eastAsia="微软雅黑"/>
          <w:szCs w:val="21"/>
        </w:rPr>
      </w:pPr>
      <w:r>
        <w:rPr>
          <w:rFonts w:hint="eastAsia" w:ascii="微软雅黑" w:hAnsi="微软雅黑" w:eastAsia="微软雅黑"/>
          <w:szCs w:val="21"/>
        </w:rPr>
        <w:t>4. 读者服务区无线网络覆盖率</w:t>
      </w:r>
    </w:p>
    <w:p>
      <w:pPr>
        <w:spacing w:line="360" w:lineRule="auto"/>
        <w:rPr>
          <w:rFonts w:ascii="微软雅黑" w:hAnsi="微软雅黑" w:eastAsia="微软雅黑"/>
          <w:szCs w:val="21"/>
        </w:rPr>
      </w:pPr>
      <w:r>
        <w:rPr>
          <w:rFonts w:hint="eastAsia" w:ascii="微软雅黑" w:hAnsi="微软雅黑" w:eastAsia="微软雅黑"/>
          <w:szCs w:val="21"/>
        </w:rPr>
        <w:t>5. 网络带宽</w:t>
      </w:r>
    </w:p>
    <w:p>
      <w:pPr>
        <w:spacing w:line="360" w:lineRule="auto"/>
        <w:rPr>
          <w:rFonts w:ascii="微软雅黑" w:hAnsi="微软雅黑" w:eastAsia="微软雅黑"/>
          <w:szCs w:val="21"/>
        </w:rPr>
      </w:pPr>
      <w:r>
        <w:rPr>
          <w:rFonts w:hint="eastAsia" w:ascii="微软雅黑" w:hAnsi="微软雅黑" w:eastAsia="微软雅黑"/>
          <w:szCs w:val="21"/>
        </w:rPr>
        <w:t>6. 存储容量</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t>七、馆藏统计</w:t>
      </w:r>
    </w:p>
    <w:p>
      <w:pPr>
        <w:spacing w:line="360" w:lineRule="auto"/>
        <w:rPr>
          <w:rFonts w:ascii="微软雅黑" w:hAnsi="微软雅黑" w:eastAsia="微软雅黑"/>
          <w:szCs w:val="21"/>
        </w:rPr>
      </w:pPr>
      <w:r>
        <w:rPr>
          <w:rFonts w:hint="eastAsia" w:ascii="微软雅黑" w:hAnsi="微软雅黑" w:eastAsia="微软雅黑"/>
          <w:szCs w:val="21"/>
        </w:rPr>
        <w:t>1. 图书及视听文献藏量</w:t>
      </w:r>
    </w:p>
    <w:p>
      <w:pPr>
        <w:spacing w:line="360" w:lineRule="auto"/>
        <w:rPr>
          <w:rFonts w:ascii="微软雅黑" w:hAnsi="微软雅黑" w:eastAsia="微软雅黑"/>
          <w:szCs w:val="21"/>
        </w:rPr>
      </w:pPr>
      <w:r>
        <w:rPr>
          <w:rFonts w:hint="eastAsia" w:ascii="微软雅黑" w:hAnsi="微软雅黑" w:eastAsia="微软雅黑"/>
          <w:szCs w:val="21"/>
        </w:rPr>
        <w:t>2. 本年新增馆藏</w:t>
      </w:r>
    </w:p>
    <w:p>
      <w:pPr>
        <w:spacing w:line="360" w:lineRule="auto"/>
        <w:rPr>
          <w:rFonts w:ascii="微软雅黑" w:hAnsi="微软雅黑" w:eastAsia="微软雅黑"/>
          <w:szCs w:val="21"/>
        </w:rPr>
      </w:pPr>
      <w:r>
        <w:rPr>
          <w:rFonts w:hint="eastAsia" w:ascii="微软雅黑" w:hAnsi="微软雅黑" w:eastAsia="微软雅黑"/>
          <w:szCs w:val="21"/>
        </w:rPr>
        <w:t>3. 本年订购报纸、期刊种类数</w:t>
      </w:r>
    </w:p>
    <w:p>
      <w:pPr>
        <w:spacing w:line="360" w:lineRule="auto"/>
        <w:rPr>
          <w:rFonts w:ascii="微软雅黑" w:hAnsi="微软雅黑" w:eastAsia="微软雅黑"/>
          <w:b/>
          <w:sz w:val="24"/>
          <w:szCs w:val="24"/>
        </w:rPr>
      </w:pPr>
      <w:r>
        <w:rPr>
          <w:rFonts w:hint="eastAsia" w:ascii="微软雅黑" w:hAnsi="微软雅黑" w:eastAsia="微软雅黑"/>
          <w:b/>
          <w:sz w:val="24"/>
          <w:szCs w:val="24"/>
          <w:lang w:eastAsia="zh-CN"/>
        </w:rPr>
        <w:t>八</w:t>
      </w:r>
      <w:r>
        <w:rPr>
          <w:rFonts w:hint="eastAsia" w:ascii="微软雅黑" w:hAnsi="微软雅黑" w:eastAsia="微软雅黑"/>
          <w:b/>
          <w:sz w:val="24"/>
          <w:szCs w:val="24"/>
        </w:rPr>
        <w:t>、业务工作情况</w:t>
      </w:r>
    </w:p>
    <w:p>
      <w:pPr>
        <w:spacing w:line="360" w:lineRule="auto"/>
        <w:rPr>
          <w:rFonts w:ascii="微软雅黑" w:hAnsi="微软雅黑" w:eastAsia="微软雅黑"/>
          <w:szCs w:val="21"/>
        </w:rPr>
      </w:pPr>
      <w:r>
        <w:rPr>
          <w:rFonts w:hint="eastAsia" w:ascii="微软雅黑" w:hAnsi="微软雅黑" w:eastAsia="微软雅黑"/>
          <w:szCs w:val="21"/>
        </w:rPr>
        <w:t>1. 基础服务</w:t>
      </w:r>
    </w:p>
    <w:p>
      <w:pPr>
        <w:spacing w:line="360" w:lineRule="auto"/>
        <w:rPr>
          <w:rFonts w:ascii="微软雅黑" w:hAnsi="微软雅黑" w:eastAsia="微软雅黑"/>
          <w:szCs w:val="21"/>
        </w:rPr>
      </w:pPr>
      <w:r>
        <w:rPr>
          <w:rFonts w:hint="eastAsia" w:ascii="微软雅黑" w:hAnsi="微软雅黑" w:eastAsia="微软雅黑"/>
          <w:szCs w:val="21"/>
        </w:rPr>
        <w:t>有效证件</w:t>
      </w:r>
    </w:p>
    <w:p>
      <w:pPr>
        <w:spacing w:line="360" w:lineRule="auto"/>
        <w:rPr>
          <w:rFonts w:ascii="微软雅黑" w:hAnsi="微软雅黑" w:eastAsia="微软雅黑"/>
          <w:szCs w:val="21"/>
        </w:rPr>
      </w:pPr>
      <w:r>
        <w:rPr>
          <w:rFonts w:hint="eastAsia" w:ascii="微软雅黑" w:hAnsi="微软雅黑" w:eastAsia="微软雅黑"/>
          <w:szCs w:val="21"/>
        </w:rPr>
        <w:t>网站访问量</w:t>
      </w:r>
    </w:p>
    <w:p>
      <w:pPr>
        <w:spacing w:line="360" w:lineRule="auto"/>
        <w:rPr>
          <w:rFonts w:ascii="微软雅黑" w:hAnsi="微软雅黑" w:eastAsia="微软雅黑"/>
          <w:szCs w:val="21"/>
        </w:rPr>
      </w:pPr>
      <w:r>
        <w:rPr>
          <w:rFonts w:hint="eastAsia" w:ascii="微软雅黑" w:hAnsi="微软雅黑" w:eastAsia="微软雅黑"/>
          <w:szCs w:val="21"/>
        </w:rPr>
        <w:t>2. 特殊群体服务</w:t>
      </w:r>
    </w:p>
    <w:p>
      <w:pPr>
        <w:spacing w:line="360" w:lineRule="auto"/>
        <w:rPr>
          <w:rFonts w:ascii="微软雅黑" w:hAnsi="微软雅黑" w:eastAsia="微软雅黑"/>
          <w:szCs w:val="21"/>
        </w:rPr>
      </w:pPr>
      <w:r>
        <w:rPr>
          <w:rFonts w:hint="eastAsia" w:ascii="微软雅黑" w:hAnsi="微软雅黑" w:eastAsia="微软雅黑"/>
          <w:szCs w:val="21"/>
        </w:rPr>
        <w:t>3. 数据库建设统计</w:t>
      </w:r>
    </w:p>
    <w:p>
      <w:pPr>
        <w:spacing w:line="360" w:lineRule="auto"/>
        <w:rPr>
          <w:rFonts w:ascii="微软雅黑" w:hAnsi="微软雅黑" w:eastAsia="微软雅黑"/>
          <w:szCs w:val="21"/>
        </w:rPr>
      </w:pPr>
      <w:r>
        <w:rPr>
          <w:rFonts w:hint="eastAsia" w:ascii="微软雅黑" w:hAnsi="微软雅黑" w:eastAsia="微软雅黑"/>
          <w:szCs w:val="21"/>
        </w:rPr>
        <w:t>本馆自建数据库</w:t>
      </w:r>
    </w:p>
    <w:p>
      <w:pPr>
        <w:spacing w:line="360" w:lineRule="auto"/>
        <w:rPr>
          <w:rFonts w:ascii="微软雅黑" w:hAnsi="微软雅黑" w:eastAsia="微软雅黑"/>
          <w:szCs w:val="21"/>
        </w:rPr>
      </w:pPr>
      <w:r>
        <w:rPr>
          <w:rFonts w:hint="eastAsia" w:ascii="微软雅黑" w:hAnsi="微软雅黑" w:eastAsia="微软雅黑"/>
          <w:szCs w:val="21"/>
        </w:rPr>
        <w:t>本馆购买数据库</w:t>
      </w:r>
    </w:p>
    <w:p>
      <w:pPr>
        <w:spacing w:line="360" w:lineRule="auto"/>
        <w:rPr>
          <w:rFonts w:ascii="微软雅黑" w:hAnsi="微软雅黑" w:eastAsia="微软雅黑"/>
          <w:szCs w:val="21"/>
        </w:rPr>
      </w:pPr>
      <w:r>
        <w:rPr>
          <w:rFonts w:hint="eastAsia" w:ascii="微软雅黑" w:hAnsi="微软雅黑" w:eastAsia="微软雅黑"/>
          <w:szCs w:val="21"/>
        </w:rPr>
        <w:t>4. 数字信息发布平台</w:t>
      </w:r>
    </w:p>
    <w:p>
      <w:pPr>
        <w:spacing w:line="360" w:lineRule="auto"/>
        <w:rPr>
          <w:rFonts w:ascii="微软雅黑" w:hAnsi="微软雅黑" w:eastAsia="微软雅黑"/>
          <w:szCs w:val="21"/>
        </w:rPr>
      </w:pPr>
      <w:r>
        <w:rPr>
          <w:rFonts w:hint="eastAsia" w:ascii="微软雅黑" w:hAnsi="微软雅黑" w:eastAsia="微软雅黑"/>
          <w:szCs w:val="21"/>
        </w:rPr>
        <w:t>5. 咨询服务</w:t>
      </w:r>
    </w:p>
    <w:p>
      <w:pPr>
        <w:spacing w:line="360" w:lineRule="auto"/>
        <w:rPr>
          <w:rFonts w:ascii="微软雅黑" w:hAnsi="微软雅黑" w:eastAsia="微软雅黑"/>
          <w:szCs w:val="21"/>
        </w:rPr>
      </w:pPr>
      <w:r>
        <w:rPr>
          <w:rFonts w:hint="eastAsia" w:ascii="微软雅黑" w:hAnsi="微软雅黑" w:eastAsia="微软雅黑"/>
          <w:szCs w:val="21"/>
        </w:rPr>
        <w:t>参考咨询</w:t>
      </w:r>
    </w:p>
    <w:p>
      <w:pPr>
        <w:spacing w:line="360" w:lineRule="auto"/>
        <w:rPr>
          <w:rFonts w:ascii="微软雅黑" w:hAnsi="微软雅黑" w:eastAsia="微软雅黑"/>
          <w:szCs w:val="21"/>
        </w:rPr>
      </w:pPr>
      <w:r>
        <w:rPr>
          <w:rFonts w:hint="eastAsia" w:ascii="微软雅黑" w:hAnsi="微软雅黑" w:eastAsia="微软雅黑"/>
          <w:szCs w:val="21"/>
        </w:rPr>
        <w:t>信息服务</w:t>
      </w:r>
    </w:p>
    <w:p>
      <w:pPr>
        <w:spacing w:line="360" w:lineRule="auto"/>
        <w:rPr>
          <w:rFonts w:ascii="微软雅黑" w:hAnsi="微软雅黑" w:eastAsia="微软雅黑"/>
          <w:szCs w:val="21"/>
        </w:rPr>
      </w:pPr>
      <w:r>
        <w:rPr>
          <w:rFonts w:hint="eastAsia" w:ascii="微软雅黑" w:hAnsi="微软雅黑" w:eastAsia="微软雅黑"/>
          <w:szCs w:val="21"/>
        </w:rPr>
        <w:t>专题咨询</w:t>
      </w:r>
    </w:p>
    <w:p>
      <w:pPr>
        <w:spacing w:line="360" w:lineRule="auto"/>
        <w:rPr>
          <w:rFonts w:ascii="微软雅黑" w:hAnsi="微软雅黑" w:eastAsia="微软雅黑"/>
          <w:szCs w:val="21"/>
        </w:rPr>
      </w:pPr>
      <w:r>
        <w:rPr>
          <w:rFonts w:ascii="微软雅黑" w:hAnsi="微软雅黑" w:eastAsia="微软雅黑"/>
          <w:szCs w:val="21"/>
        </w:rPr>
        <w:t>6</w:t>
      </w:r>
      <w:r>
        <w:rPr>
          <w:rFonts w:hint="eastAsia" w:ascii="微软雅黑" w:hAnsi="微软雅黑" w:eastAsia="微软雅黑"/>
          <w:szCs w:val="21"/>
        </w:rPr>
        <w:t>. 读者活动</w:t>
      </w:r>
    </w:p>
    <w:p>
      <w:pPr>
        <w:spacing w:line="360" w:lineRule="auto"/>
        <w:rPr>
          <w:rFonts w:ascii="微软雅黑" w:hAnsi="微软雅黑" w:eastAsia="微软雅黑"/>
          <w:szCs w:val="21"/>
        </w:rPr>
      </w:pPr>
      <w:r>
        <w:rPr>
          <w:rFonts w:ascii="微软雅黑" w:hAnsi="微软雅黑" w:eastAsia="微软雅黑"/>
          <w:szCs w:val="21"/>
        </w:rPr>
        <w:t>7</w:t>
      </w:r>
      <w:r>
        <w:rPr>
          <w:rFonts w:hint="eastAsia" w:ascii="微软雅黑" w:hAnsi="微软雅黑" w:eastAsia="微软雅黑"/>
          <w:szCs w:val="21"/>
        </w:rPr>
        <w:t>. 志愿者活动</w:t>
      </w:r>
    </w:p>
    <w:p>
      <w:pPr>
        <w:spacing w:line="360" w:lineRule="auto"/>
        <w:rPr>
          <w:rFonts w:ascii="微软雅黑" w:hAnsi="微软雅黑" w:eastAsia="微软雅黑"/>
          <w:szCs w:val="21"/>
        </w:rPr>
      </w:pPr>
      <w:r>
        <w:rPr>
          <w:rFonts w:ascii="微软雅黑" w:hAnsi="微软雅黑" w:eastAsia="微软雅黑"/>
          <w:szCs w:val="21"/>
        </w:rPr>
        <w:t>8</w:t>
      </w:r>
      <w:r>
        <w:rPr>
          <w:rFonts w:hint="eastAsia" w:ascii="微软雅黑" w:hAnsi="微软雅黑" w:eastAsia="微软雅黑"/>
          <w:szCs w:val="21"/>
        </w:rPr>
        <w:t>. 媒体报道</w:t>
      </w:r>
    </w:p>
    <w:p>
      <w:pPr>
        <w:spacing w:line="360" w:lineRule="auto"/>
        <w:rPr>
          <w:rFonts w:ascii="微软雅黑" w:hAnsi="微软雅黑" w:eastAsia="微软雅黑"/>
          <w:b/>
          <w:sz w:val="24"/>
          <w:szCs w:val="24"/>
        </w:rPr>
      </w:pPr>
      <w:r>
        <w:rPr>
          <w:rFonts w:hint="eastAsia" w:ascii="微软雅黑" w:hAnsi="微软雅黑" w:eastAsia="微软雅黑"/>
          <w:b/>
          <w:sz w:val="24"/>
          <w:szCs w:val="24"/>
          <w:lang w:eastAsia="zh-CN"/>
        </w:rPr>
        <w:t>九</w:t>
      </w:r>
      <w:r>
        <w:rPr>
          <w:rFonts w:hint="eastAsia" w:ascii="微软雅黑" w:hAnsi="微软雅黑" w:eastAsia="微软雅黑"/>
          <w:b/>
          <w:sz w:val="24"/>
          <w:szCs w:val="24"/>
        </w:rPr>
        <w:t>、获得表彰</w:t>
      </w: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jc w:val="center"/>
        <w:rPr>
          <w:rFonts w:ascii="Tahoma" w:hAnsi="Tahoma" w:eastAsia="微软雅黑"/>
          <w:b/>
          <w:kern w:val="0"/>
          <w:sz w:val="24"/>
          <w:szCs w:val="24"/>
        </w:rPr>
      </w:pPr>
      <w:r>
        <w:rPr>
          <w:rFonts w:hint="eastAsia" w:ascii="Tahoma" w:hAnsi="Tahoma" w:eastAsia="微软雅黑"/>
          <w:b/>
          <w:kern w:val="0"/>
          <w:sz w:val="24"/>
          <w:szCs w:val="24"/>
        </w:rPr>
        <w:t>一、闵行区图书馆</w:t>
      </w:r>
      <w:r>
        <w:rPr>
          <w:rFonts w:hint="eastAsia" w:ascii="微软雅黑" w:hAnsi="微软雅黑" w:eastAsia="微软雅黑"/>
          <w:b/>
          <w:sz w:val="24"/>
          <w:szCs w:val="24"/>
        </w:rPr>
        <w:t>二〇二〇</w:t>
      </w:r>
      <w:r>
        <w:rPr>
          <w:rFonts w:hint="eastAsia" w:ascii="Tahoma" w:hAnsi="Tahoma" w:eastAsia="微软雅黑"/>
          <w:b/>
          <w:kern w:val="0"/>
          <w:sz w:val="24"/>
          <w:szCs w:val="24"/>
        </w:rPr>
        <w:t>年工作计划</w:t>
      </w:r>
    </w:p>
    <w:p>
      <w:pPr>
        <w:spacing w:line="360" w:lineRule="auto"/>
        <w:ind w:firstLine="420" w:firstLineChars="200"/>
        <w:rPr>
          <w:rFonts w:asciiTheme="minorEastAsia" w:hAnsiTheme="minorEastAsia"/>
          <w:szCs w:val="21"/>
        </w:rPr>
      </w:pPr>
      <w:r>
        <w:rPr>
          <w:rFonts w:hint="eastAsia" w:asciiTheme="minorEastAsia" w:hAnsiTheme="minorEastAsia"/>
          <w:szCs w:val="21"/>
        </w:rPr>
        <w:t>20</w:t>
      </w:r>
      <w:r>
        <w:rPr>
          <w:rFonts w:asciiTheme="minorEastAsia" w:hAnsiTheme="minorEastAsia"/>
          <w:szCs w:val="21"/>
        </w:rPr>
        <w:t>20</w:t>
      </w:r>
      <w:r>
        <w:rPr>
          <w:rFonts w:hint="eastAsia" w:asciiTheme="minorEastAsia" w:hAnsiTheme="minorEastAsia"/>
          <w:szCs w:val="21"/>
        </w:rPr>
        <w:t>年我馆将继续做好传统项目工作的基础上，以重点工作为抓手，不断拓展图书馆服务新方式，让图书馆服务更贴近读者需求。重点做好以下几方面重点工作：</w:t>
      </w:r>
    </w:p>
    <w:p>
      <w:pPr>
        <w:spacing w:line="360" w:lineRule="auto"/>
        <w:ind w:firstLine="480"/>
        <w:rPr>
          <w:rFonts w:ascii="微软雅黑" w:hAnsi="微软雅黑" w:eastAsia="微软雅黑"/>
          <w:b/>
          <w:szCs w:val="21"/>
        </w:rPr>
      </w:pPr>
      <w:r>
        <w:rPr>
          <w:rFonts w:hint="eastAsia" w:ascii="微软雅黑" w:hAnsi="微软雅黑" w:eastAsia="微软雅黑"/>
          <w:b/>
          <w:szCs w:val="21"/>
        </w:rPr>
        <w:t>一、图书馆场所扩展与再利用，打造市民文化生活第三空间</w:t>
      </w:r>
    </w:p>
    <w:p>
      <w:pPr>
        <w:spacing w:line="360" w:lineRule="auto"/>
        <w:ind w:firstLine="482"/>
        <w:rPr>
          <w:rFonts w:asciiTheme="minorEastAsia" w:hAnsiTheme="minorEastAsia"/>
          <w:szCs w:val="21"/>
        </w:rPr>
      </w:pPr>
      <w:r>
        <w:rPr>
          <w:rFonts w:hint="eastAsia" w:asciiTheme="minorEastAsia" w:hAnsiTheme="minorEastAsia"/>
          <w:b/>
          <w:szCs w:val="21"/>
        </w:rPr>
        <w:t>1、扩充少儿读者服务区域。</w:t>
      </w:r>
      <w:r>
        <w:rPr>
          <w:rFonts w:hint="eastAsia" w:asciiTheme="minorEastAsia" w:hAnsiTheme="minorEastAsia"/>
          <w:szCs w:val="21"/>
        </w:rPr>
        <w:t>图书馆馆舍面积不足，这已经是比较突出的问题，尤其是本馆的少儿服务区域严重不足。从近三年的读者服务统计数据看，少儿读者每月新增办证量和图书借阅量占比3</w:t>
      </w:r>
      <w:r>
        <w:rPr>
          <w:rFonts w:asciiTheme="minorEastAsia" w:hAnsiTheme="minorEastAsia"/>
          <w:szCs w:val="21"/>
        </w:rPr>
        <w:t>0%</w:t>
      </w:r>
      <w:r>
        <w:rPr>
          <w:rFonts w:hint="eastAsia" w:asciiTheme="minorEastAsia" w:hAnsiTheme="minorEastAsia"/>
          <w:szCs w:val="21"/>
        </w:rPr>
        <w:t>还要多，而少儿服务区域面积只占本馆建筑总面积1</w:t>
      </w:r>
      <w:r>
        <w:rPr>
          <w:rFonts w:asciiTheme="minorEastAsia" w:hAnsiTheme="minorEastAsia"/>
          <w:szCs w:val="21"/>
        </w:rPr>
        <w:t>/8</w:t>
      </w:r>
      <w:r>
        <w:rPr>
          <w:rFonts w:hint="eastAsia" w:asciiTheme="minorEastAsia" w:hAnsiTheme="minorEastAsia"/>
          <w:szCs w:val="21"/>
        </w:rPr>
        <w:t>左右，而且场所空间狭小带来的藏书量小，以及吵闹、难于管理等问题长期存在。目前博物馆暂借区域即将腾出来，我馆将积极争取这部分场所使用权，作为二楼少儿服务区域，以缓解当前的窘境。</w:t>
      </w:r>
    </w:p>
    <w:p>
      <w:pPr>
        <w:spacing w:line="360" w:lineRule="auto"/>
        <w:ind w:firstLine="482"/>
        <w:rPr>
          <w:rFonts w:asciiTheme="minorEastAsia" w:hAnsiTheme="minorEastAsia"/>
          <w:szCs w:val="21"/>
        </w:rPr>
      </w:pPr>
      <w:r>
        <w:rPr>
          <w:rFonts w:hint="eastAsia" w:asciiTheme="minorEastAsia" w:hAnsiTheme="minorEastAsia"/>
          <w:b/>
          <w:szCs w:val="21"/>
        </w:rPr>
        <w:t>2、合理规划少儿服务空间。</w:t>
      </w:r>
      <w:r>
        <w:rPr>
          <w:rFonts w:hint="eastAsia" w:asciiTheme="minorEastAsia" w:hAnsiTheme="minorEastAsia"/>
          <w:szCs w:val="21"/>
        </w:rPr>
        <w:t>待少儿服务区域扩充后，重新划分低幼与少儿、及阅读与活动服务区域，动与静区分，解决吵闹及难于管理的问题，从而改善少儿读者服务的文明环境，更好的提供少儿读者阅读、少儿阅读推广活动等服务。</w:t>
      </w:r>
    </w:p>
    <w:p>
      <w:pPr>
        <w:spacing w:line="360" w:lineRule="auto"/>
        <w:ind w:firstLine="482"/>
        <w:rPr>
          <w:rFonts w:asciiTheme="minorEastAsia" w:hAnsiTheme="minorEastAsia"/>
          <w:szCs w:val="21"/>
        </w:rPr>
      </w:pPr>
      <w:r>
        <w:rPr>
          <w:rFonts w:hint="eastAsia" w:asciiTheme="minorEastAsia" w:hAnsiTheme="minorEastAsia"/>
          <w:b/>
          <w:szCs w:val="21"/>
        </w:rPr>
        <w:t>3、改善读者服务区域环境。</w:t>
      </w:r>
      <w:r>
        <w:rPr>
          <w:rFonts w:hint="eastAsia" w:asciiTheme="minorEastAsia" w:hAnsiTheme="minorEastAsia"/>
          <w:szCs w:val="21"/>
        </w:rPr>
        <w:t>目前本馆舍面向读者开放已近1</w:t>
      </w:r>
      <w:r>
        <w:rPr>
          <w:rFonts w:asciiTheme="minorEastAsia" w:hAnsiTheme="minorEastAsia"/>
          <w:szCs w:val="21"/>
        </w:rPr>
        <w:t>0</w:t>
      </w:r>
      <w:r>
        <w:rPr>
          <w:rFonts w:hint="eastAsia" w:asciiTheme="minorEastAsia" w:hAnsiTheme="minorEastAsia"/>
          <w:szCs w:val="21"/>
        </w:rPr>
        <w:t>年之久，好多设施设备因老旧或功能老化等原因，需要维护更新。另外，还需要相应增加一些具有一定文化感染力的书法、美术作品展示，营造更加浓厚的文化氛围。</w:t>
      </w:r>
    </w:p>
    <w:p>
      <w:pPr>
        <w:spacing w:line="360" w:lineRule="auto"/>
        <w:ind w:firstLine="480"/>
        <w:rPr>
          <w:rFonts w:ascii="微软雅黑" w:hAnsi="微软雅黑" w:eastAsia="微软雅黑"/>
          <w:b/>
          <w:szCs w:val="21"/>
        </w:rPr>
      </w:pPr>
      <w:r>
        <w:rPr>
          <w:rFonts w:hint="eastAsia" w:ascii="微软雅黑" w:hAnsi="微软雅黑" w:eastAsia="微软雅黑"/>
          <w:b/>
          <w:szCs w:val="21"/>
        </w:rPr>
        <w:t>二、继续做好图书馆阵地服务，提供高效便捷优质图书馆服务</w:t>
      </w:r>
    </w:p>
    <w:p>
      <w:pPr>
        <w:spacing w:line="360" w:lineRule="auto"/>
        <w:ind w:firstLine="480"/>
        <w:rPr>
          <w:rFonts w:asciiTheme="minorEastAsia" w:hAnsiTheme="minorEastAsia"/>
          <w:bCs/>
          <w:szCs w:val="21"/>
        </w:rPr>
      </w:pPr>
      <w:r>
        <w:rPr>
          <w:rFonts w:hint="eastAsia" w:asciiTheme="minorEastAsia" w:hAnsiTheme="minorEastAsia"/>
          <w:b/>
          <w:szCs w:val="21"/>
        </w:rPr>
        <w:t>1、以读者为中心做好阵地服务工作。</w:t>
      </w:r>
      <w:r>
        <w:rPr>
          <w:rFonts w:hint="eastAsia" w:asciiTheme="minorEastAsia" w:hAnsiTheme="minorEastAsia"/>
          <w:bCs/>
          <w:szCs w:val="21"/>
        </w:rPr>
        <w:t>一是继续做好读者接待与服务工作，热心、热情服务好每一位读者，在办证、借书、还书、阅览、咨询等服务环节继续推广“首问责任制”，保证服务效能与质量；二是继续创新举办各种符合新时代中国特色社会主义文化发展方向并且能满足广大市民文化需要阅读推广活动，推动全民阅读；三是甄选优秀的数字资源，提供一站式数字资源提供服务。</w:t>
      </w:r>
    </w:p>
    <w:p>
      <w:pPr>
        <w:spacing w:line="360" w:lineRule="auto"/>
        <w:ind w:firstLine="480"/>
        <w:rPr>
          <w:rFonts w:asciiTheme="minorEastAsia" w:hAnsiTheme="minorEastAsia"/>
          <w:szCs w:val="21"/>
        </w:rPr>
      </w:pPr>
      <w:r>
        <w:rPr>
          <w:rFonts w:hint="eastAsia" w:asciiTheme="minorEastAsia" w:hAnsiTheme="minorEastAsia"/>
          <w:b/>
          <w:szCs w:val="21"/>
        </w:rPr>
        <w:t>2、调整并发展好馆藏资源建设。</w:t>
      </w:r>
      <w:r>
        <w:rPr>
          <w:rFonts w:hint="eastAsia" w:asciiTheme="minorEastAsia" w:hAnsiTheme="minorEastAsia"/>
          <w:bCs/>
          <w:szCs w:val="21"/>
        </w:rPr>
        <w:t>一是</w:t>
      </w:r>
      <w:r>
        <w:rPr>
          <w:rFonts w:hint="eastAsia" w:asciiTheme="minorEastAsia" w:hAnsiTheme="minorEastAsia"/>
          <w:szCs w:val="21"/>
        </w:rPr>
        <w:t>坚持馆藏零增长模式，做好图书采购、加工、上架、剔旧、下架等工作；二是加强馆藏科学化管理，开展跨部门的专题研讨活动，集中全馆人员的专业智慧，研究并制订图书采访、图书剔旧等馆藏发展策略，合理配置馆藏结构，使馆藏图书的品种与数量能更加满足读者大众的需要。</w:t>
      </w:r>
    </w:p>
    <w:p>
      <w:pPr>
        <w:spacing w:line="360" w:lineRule="auto"/>
        <w:ind w:firstLine="480"/>
        <w:rPr>
          <w:rFonts w:asciiTheme="minorEastAsia" w:hAnsiTheme="minorEastAsia"/>
          <w:szCs w:val="21"/>
        </w:rPr>
      </w:pPr>
      <w:r>
        <w:rPr>
          <w:rFonts w:asciiTheme="minorEastAsia" w:hAnsiTheme="minorEastAsia"/>
          <w:b/>
          <w:szCs w:val="21"/>
        </w:rPr>
        <w:t>3</w:t>
      </w:r>
      <w:r>
        <w:rPr>
          <w:rFonts w:hint="eastAsia" w:asciiTheme="minorEastAsia" w:hAnsiTheme="minorEastAsia"/>
          <w:b/>
          <w:szCs w:val="21"/>
        </w:rPr>
        <w:t>、提供更好的数字资源服务。</w:t>
      </w:r>
      <w:r>
        <w:rPr>
          <w:rFonts w:hint="eastAsia" w:asciiTheme="minorEastAsia" w:hAnsiTheme="minorEastAsia"/>
          <w:szCs w:val="21"/>
        </w:rPr>
        <w:t>在数字资源的推广与利用上，我馆不仅要加大数字资源的采购力度，更要在促进数字资源利用方面多做尝试与探索。一是通过举办培训，持之以恒地开展读者数字素养教育活动，计划每双月举办一期。推介本馆数字资源、介绍使用方法与技巧，促进利用率提高；二是扩展更多的数字资源访问及利用的渠道，拓展移动互联应用服务模式，以方便读者更高效的利用本馆的数字资源。</w:t>
      </w:r>
    </w:p>
    <w:p>
      <w:pPr>
        <w:spacing w:line="360" w:lineRule="auto"/>
        <w:ind w:firstLine="480"/>
        <w:rPr>
          <w:rFonts w:asciiTheme="minorEastAsia" w:hAnsiTheme="minorEastAsia"/>
          <w:b/>
          <w:szCs w:val="21"/>
        </w:rPr>
      </w:pPr>
      <w:r>
        <w:rPr>
          <w:rFonts w:hint="eastAsia" w:ascii="微软雅黑" w:hAnsi="微软雅黑" w:eastAsia="微软雅黑"/>
          <w:b/>
          <w:szCs w:val="21"/>
        </w:rPr>
        <w:t>三、继续推动总分馆建设，完善闵行公共图书馆服务体系。</w:t>
      </w:r>
    </w:p>
    <w:p>
      <w:pPr>
        <w:spacing w:line="360" w:lineRule="auto"/>
        <w:ind w:firstLine="422" w:firstLineChars="200"/>
        <w:rPr>
          <w:rFonts w:asciiTheme="minorEastAsia" w:hAnsiTheme="minorEastAsia"/>
          <w:szCs w:val="21"/>
        </w:rPr>
      </w:pPr>
      <w:r>
        <w:rPr>
          <w:rFonts w:hint="eastAsia" w:asciiTheme="minorEastAsia" w:hAnsiTheme="minorEastAsia"/>
          <w:b/>
          <w:szCs w:val="21"/>
        </w:rPr>
        <w:t>1、进一步推动总分馆建设。</w:t>
      </w:r>
      <w:r>
        <w:rPr>
          <w:rFonts w:hint="eastAsia" w:asciiTheme="minorEastAsia" w:hAnsiTheme="minorEastAsia"/>
          <w:szCs w:val="21"/>
        </w:rPr>
        <w:t>目前闵行区公共图书馆总分馆制建设基本完成。上海市中心图书馆</w:t>
      </w:r>
      <w:r>
        <w:rPr>
          <w:rFonts w:asciiTheme="minorEastAsia" w:hAnsiTheme="minorEastAsia"/>
          <w:szCs w:val="21"/>
        </w:rPr>
        <w:t>—</w:t>
      </w:r>
      <w:r>
        <w:rPr>
          <w:rFonts w:hint="eastAsia" w:asciiTheme="minorEastAsia" w:hAnsiTheme="minorEastAsia"/>
          <w:szCs w:val="21"/>
        </w:rPr>
        <w:t>区馆</w:t>
      </w:r>
      <w:r>
        <w:rPr>
          <w:rFonts w:asciiTheme="minorEastAsia" w:hAnsiTheme="minorEastAsia"/>
          <w:szCs w:val="21"/>
        </w:rPr>
        <w:t>—</w:t>
      </w:r>
      <w:r>
        <w:rPr>
          <w:rFonts w:hint="eastAsia" w:asciiTheme="minorEastAsia" w:hAnsiTheme="minorEastAsia"/>
          <w:szCs w:val="21"/>
        </w:rPr>
        <w:t>街镇分馆之间的总分馆重新签订协议，区级总分馆区馆</w:t>
      </w:r>
      <w:r>
        <w:rPr>
          <w:rFonts w:asciiTheme="minorEastAsia" w:hAnsiTheme="minorEastAsia"/>
          <w:szCs w:val="21"/>
        </w:rPr>
        <w:t>—</w:t>
      </w:r>
      <w:r>
        <w:rPr>
          <w:rFonts w:hint="eastAsia" w:asciiTheme="minorEastAsia" w:hAnsiTheme="minorEastAsia"/>
          <w:szCs w:val="21"/>
        </w:rPr>
        <w:t>街镇分馆</w:t>
      </w:r>
      <w:r>
        <w:rPr>
          <w:rFonts w:asciiTheme="minorEastAsia" w:hAnsiTheme="minorEastAsia"/>
          <w:szCs w:val="21"/>
        </w:rPr>
        <w:t>—</w:t>
      </w:r>
      <w:r>
        <w:rPr>
          <w:rFonts w:hint="eastAsia" w:asciiTheme="minorEastAsia" w:hAnsiTheme="minorEastAsia"/>
          <w:szCs w:val="21"/>
        </w:rPr>
        <w:t>社区（村居）服务点的架构已初具规模。但是，整个闵行区共有近5</w:t>
      </w:r>
      <w:r>
        <w:rPr>
          <w:rFonts w:asciiTheme="minorEastAsia" w:hAnsiTheme="minorEastAsia"/>
          <w:szCs w:val="21"/>
        </w:rPr>
        <w:t>00</w:t>
      </w:r>
      <w:r>
        <w:rPr>
          <w:rFonts w:hint="eastAsia" w:asciiTheme="minorEastAsia" w:hAnsiTheme="minorEastAsia"/>
          <w:szCs w:val="21"/>
        </w:rPr>
        <w:t>家社区和村居，目前加入总分馆的仅只2</w:t>
      </w:r>
      <w:r>
        <w:rPr>
          <w:rFonts w:asciiTheme="minorEastAsia" w:hAnsiTheme="minorEastAsia"/>
          <w:szCs w:val="21"/>
        </w:rPr>
        <w:t>7</w:t>
      </w:r>
      <w:r>
        <w:rPr>
          <w:rFonts w:hint="eastAsia" w:asciiTheme="minorEastAsia" w:hAnsiTheme="minorEastAsia"/>
          <w:szCs w:val="21"/>
        </w:rPr>
        <w:t>家村居，其余村居情况复杂，场所、人员、经费等条件都不成熟，甚至于无。要想实现全面覆盖的目标，还需明年进一步扎实推进该项工作。对于已加入总分馆制的街镇及村居图书室，一是要加强对各级各馆/服务点的业务指导，尽早实现闵行公共图书馆事业“五个统一”的整体发展目标和要求；二是对总分馆工作人员加强业务培训，每年举办1</w:t>
      </w:r>
      <w:r>
        <w:rPr>
          <w:rFonts w:asciiTheme="minorEastAsia" w:hAnsiTheme="minorEastAsia"/>
          <w:szCs w:val="21"/>
        </w:rPr>
        <w:t>-2</w:t>
      </w:r>
      <w:r>
        <w:rPr>
          <w:rFonts w:hint="eastAsia" w:asciiTheme="minorEastAsia" w:hAnsiTheme="minorEastAsia"/>
          <w:szCs w:val="21"/>
        </w:rPr>
        <w:t>次集中培训，并鼓励从业人员参加市中心馆或图书馆行业协会举办的各类培训；三是做好年度考核工作，加强总分馆成员业务绩效、服务质量、社会满意度等方面的总体评价。对于未加入总分馆的村居，要进一步察看、核实，根据不同情况制订相应的策略和办法，切实有效地推进总分馆制进程，以促早日实现全覆盖。</w:t>
      </w:r>
    </w:p>
    <w:p>
      <w:pPr>
        <w:spacing w:line="360" w:lineRule="auto"/>
        <w:ind w:firstLine="422" w:firstLineChars="200"/>
        <w:rPr>
          <w:rFonts w:cs="黑体" w:asciiTheme="minorEastAsia" w:hAnsiTheme="minorEastAsia"/>
          <w:bCs/>
          <w:color w:val="000000" w:themeColor="text1"/>
          <w:szCs w:val="21"/>
          <w14:textFill>
            <w14:solidFill>
              <w14:schemeClr w14:val="tx1"/>
            </w14:solidFill>
          </w14:textFill>
        </w:rPr>
      </w:pPr>
      <w:r>
        <w:rPr>
          <w:rFonts w:hint="eastAsia" w:asciiTheme="minorEastAsia" w:hAnsiTheme="minorEastAsia"/>
          <w:b/>
          <w:szCs w:val="21"/>
        </w:rPr>
        <w:t>2、继续推动城市书房建设。</w:t>
      </w:r>
      <w:r>
        <w:rPr>
          <w:rFonts w:hint="eastAsia" w:asciiTheme="minorEastAsia" w:hAnsiTheme="minorEastAsia"/>
          <w:szCs w:val="21"/>
        </w:rPr>
        <w:t>一是根据“成熟一个，建设一个”的闵行城市书房建设总要求，继续推进城市书房项目建设，争取明年闵行城市书房在布点方面有量的突破；二是</w:t>
      </w:r>
      <w:r>
        <w:rPr>
          <w:rFonts w:hint="eastAsia" w:cs="黑体" w:asciiTheme="minorEastAsia" w:hAnsiTheme="minorEastAsia"/>
          <w:bCs/>
          <w:color w:val="000000" w:themeColor="text1"/>
          <w:szCs w:val="21"/>
          <w14:textFill>
            <w14:solidFill>
              <w14:schemeClr w14:val="tx1"/>
            </w14:solidFill>
          </w14:textFill>
        </w:rPr>
        <w:t>在现有</w:t>
      </w:r>
      <w:r>
        <w:rPr>
          <w:rFonts w:cs="黑体" w:asciiTheme="minorEastAsia" w:hAnsiTheme="minorEastAsia"/>
          <w:bCs/>
          <w:color w:val="000000" w:themeColor="text1"/>
          <w:szCs w:val="21"/>
          <w14:textFill>
            <w14:solidFill>
              <w14:schemeClr w14:val="tx1"/>
            </w14:solidFill>
          </w14:textFill>
        </w:rPr>
        <w:t>的11</w:t>
      </w:r>
      <w:r>
        <w:rPr>
          <w:rFonts w:hint="eastAsia" w:cs="黑体" w:asciiTheme="minorEastAsia" w:hAnsiTheme="minorEastAsia"/>
          <w:bCs/>
          <w:color w:val="000000" w:themeColor="text1"/>
          <w:szCs w:val="21"/>
          <w14:textFill>
            <w14:solidFill>
              <w14:schemeClr w14:val="tx1"/>
            </w14:solidFill>
          </w14:textFill>
        </w:rPr>
        <w:t>家</w:t>
      </w:r>
      <w:r>
        <w:rPr>
          <w:rFonts w:cs="黑体" w:asciiTheme="minorEastAsia" w:hAnsiTheme="minorEastAsia"/>
          <w:bCs/>
          <w:color w:val="000000" w:themeColor="text1"/>
          <w:szCs w:val="21"/>
          <w14:textFill>
            <w14:solidFill>
              <w14:schemeClr w14:val="tx1"/>
            </w14:solidFill>
          </w14:textFill>
        </w:rPr>
        <w:t>城市书房</w:t>
      </w:r>
      <w:r>
        <w:rPr>
          <w:rFonts w:hint="eastAsia" w:cs="黑体" w:asciiTheme="minorEastAsia" w:hAnsiTheme="minorEastAsia"/>
          <w:bCs/>
          <w:color w:val="000000" w:themeColor="text1"/>
          <w:szCs w:val="21"/>
          <w14:textFill>
            <w14:solidFill>
              <w14:schemeClr w14:val="tx1"/>
            </w14:solidFill>
          </w14:textFill>
        </w:rPr>
        <w:t>中，根据读者人群特征、书房</w:t>
      </w:r>
      <w:r>
        <w:rPr>
          <w:rFonts w:cs="黑体" w:asciiTheme="minorEastAsia" w:hAnsiTheme="minorEastAsia"/>
          <w:bCs/>
          <w:color w:val="000000" w:themeColor="text1"/>
          <w:szCs w:val="21"/>
          <w14:textFill>
            <w14:solidFill>
              <w14:schemeClr w14:val="tx1"/>
            </w14:solidFill>
          </w14:textFill>
        </w:rPr>
        <w:t>所在地区</w:t>
      </w:r>
      <w:r>
        <w:rPr>
          <w:rFonts w:hint="eastAsia" w:cs="黑体" w:asciiTheme="minorEastAsia" w:hAnsiTheme="minorEastAsia"/>
          <w:bCs/>
          <w:color w:val="000000" w:themeColor="text1"/>
          <w:szCs w:val="21"/>
          <w14:textFill>
            <w14:solidFill>
              <w14:schemeClr w14:val="tx1"/>
            </w14:solidFill>
          </w14:textFill>
        </w:rPr>
        <w:t>的不同</w:t>
      </w:r>
      <w:r>
        <w:rPr>
          <w:rFonts w:cs="黑体" w:asciiTheme="minorEastAsia" w:hAnsiTheme="minorEastAsia"/>
          <w:bCs/>
          <w:color w:val="000000" w:themeColor="text1"/>
          <w:szCs w:val="21"/>
          <w14:textFill>
            <w14:solidFill>
              <w14:schemeClr w14:val="tx1"/>
            </w14:solidFill>
          </w14:textFill>
        </w:rPr>
        <w:t>特点</w:t>
      </w:r>
      <w:r>
        <w:rPr>
          <w:rFonts w:hint="eastAsia" w:cs="黑体" w:asciiTheme="minorEastAsia" w:hAnsiTheme="minorEastAsia"/>
          <w:bCs/>
          <w:color w:val="000000" w:themeColor="text1"/>
          <w:szCs w:val="21"/>
          <w14:textFill>
            <w14:solidFill>
              <w14:schemeClr w14:val="tx1"/>
            </w14:solidFill>
          </w14:textFill>
        </w:rPr>
        <w:t>，重点推介“一</w:t>
      </w:r>
      <w:r>
        <w:rPr>
          <w:rFonts w:cs="黑体" w:asciiTheme="minorEastAsia" w:hAnsiTheme="minorEastAsia"/>
          <w:bCs/>
          <w:color w:val="000000" w:themeColor="text1"/>
          <w:szCs w:val="21"/>
          <w14:textFill>
            <w14:solidFill>
              <w14:schemeClr w14:val="tx1"/>
            </w14:solidFill>
          </w14:textFill>
        </w:rPr>
        <w:t>书房一品</w:t>
      </w:r>
      <w:r>
        <w:rPr>
          <w:rFonts w:hint="eastAsia" w:cs="黑体" w:asciiTheme="minorEastAsia" w:hAnsiTheme="minorEastAsia"/>
          <w:bCs/>
          <w:color w:val="000000" w:themeColor="text1"/>
          <w:szCs w:val="21"/>
          <w14:textFill>
            <w14:solidFill>
              <w14:schemeClr w14:val="tx1"/>
            </w14:solidFill>
          </w14:textFill>
        </w:rPr>
        <w:t>牌”的阅读活动，组织开展主题演讲、经典诵读、读书征文、知识竞赛等丰富多彩、群众喜闻乐见的品牌系列阅读活动，打造差异化、</w:t>
      </w:r>
      <w:r>
        <w:rPr>
          <w:rFonts w:cs="黑体" w:asciiTheme="minorEastAsia" w:hAnsiTheme="minorEastAsia"/>
          <w:bCs/>
          <w:color w:val="000000" w:themeColor="text1"/>
          <w:szCs w:val="21"/>
          <w14:textFill>
            <w14:solidFill>
              <w14:schemeClr w14:val="tx1"/>
            </w14:solidFill>
          </w14:textFill>
        </w:rPr>
        <w:t>个性化的</w:t>
      </w:r>
      <w:r>
        <w:rPr>
          <w:rFonts w:hint="eastAsia" w:cs="黑体" w:asciiTheme="minorEastAsia" w:hAnsiTheme="minorEastAsia"/>
          <w:bCs/>
          <w:color w:val="000000" w:themeColor="text1"/>
          <w:szCs w:val="21"/>
          <w14:textFill>
            <w14:solidFill>
              <w14:schemeClr w14:val="tx1"/>
            </w14:solidFill>
          </w14:textFill>
        </w:rPr>
        <w:t>阅读</w:t>
      </w:r>
      <w:r>
        <w:rPr>
          <w:rFonts w:cs="黑体" w:asciiTheme="minorEastAsia" w:hAnsiTheme="minorEastAsia"/>
          <w:bCs/>
          <w:color w:val="000000" w:themeColor="text1"/>
          <w:szCs w:val="21"/>
          <w14:textFill>
            <w14:solidFill>
              <w14:schemeClr w14:val="tx1"/>
            </w14:solidFill>
          </w14:textFill>
        </w:rPr>
        <w:t>体验</w:t>
      </w:r>
      <w:r>
        <w:rPr>
          <w:rFonts w:hint="eastAsia" w:cs="黑体" w:asciiTheme="minorEastAsia" w:hAnsiTheme="minorEastAsia"/>
          <w:bCs/>
          <w:color w:val="000000" w:themeColor="text1"/>
          <w:szCs w:val="21"/>
          <w14:textFill>
            <w14:solidFill>
              <w14:schemeClr w14:val="tx1"/>
            </w14:solidFill>
          </w14:textFill>
        </w:rPr>
        <w:t>。</w:t>
      </w:r>
    </w:p>
    <w:p>
      <w:pPr>
        <w:spacing w:line="360" w:lineRule="auto"/>
        <w:ind w:firstLine="480"/>
        <w:rPr>
          <w:rFonts w:ascii="微软雅黑" w:hAnsi="微软雅黑" w:eastAsia="微软雅黑"/>
          <w:b/>
          <w:szCs w:val="21"/>
        </w:rPr>
      </w:pPr>
      <w:r>
        <w:rPr>
          <w:rFonts w:hint="eastAsia" w:ascii="微软雅黑" w:hAnsi="微软雅黑" w:eastAsia="微软雅黑"/>
          <w:b/>
          <w:szCs w:val="21"/>
        </w:rPr>
        <w:t>四、与闵行文化云深度合作，提升全民阅读推广活动影响力</w:t>
      </w:r>
    </w:p>
    <w:p>
      <w:pPr>
        <w:spacing w:line="360" w:lineRule="auto"/>
        <w:ind w:firstLine="422" w:firstLineChars="200"/>
        <w:rPr>
          <w:rFonts w:asciiTheme="minorEastAsia" w:hAnsiTheme="minorEastAsia"/>
          <w:szCs w:val="21"/>
        </w:rPr>
      </w:pPr>
      <w:r>
        <w:rPr>
          <w:rFonts w:hint="eastAsia" w:asciiTheme="minorEastAsia" w:hAnsiTheme="minorEastAsia"/>
          <w:b/>
          <w:szCs w:val="21"/>
        </w:rPr>
        <w:t>1、闵图官网与文化云平台对接。</w:t>
      </w:r>
      <w:r>
        <w:rPr>
          <w:rFonts w:hint="eastAsia" w:asciiTheme="minorEastAsia" w:hAnsiTheme="minorEastAsia"/>
          <w:szCs w:val="21"/>
        </w:rPr>
        <w:t>闵行区图书馆新网站业已由创图公司开发完成，网上服务也已开通。借助该平台，一方面可以依托文化云平台用户覆盖面优势，提高图书馆网站网上服务的普遍性、针对性和有效性；另一方面可以通过技术手段，开发文化云数字资源远程访问接口，提供图书馆数字资源云服务。</w:t>
      </w:r>
    </w:p>
    <w:p>
      <w:pPr>
        <w:spacing w:line="360" w:lineRule="auto"/>
        <w:ind w:firstLine="422" w:firstLineChars="200"/>
        <w:rPr>
          <w:rFonts w:asciiTheme="minorEastAsia" w:hAnsiTheme="minorEastAsia"/>
          <w:szCs w:val="21"/>
        </w:rPr>
      </w:pPr>
      <w:r>
        <w:rPr>
          <w:rFonts w:hint="eastAsia" w:asciiTheme="minorEastAsia" w:hAnsiTheme="minorEastAsia"/>
          <w:b/>
          <w:szCs w:val="21"/>
        </w:rPr>
        <w:t>2、尝试开展云上阅读推广活动。</w:t>
      </w:r>
      <w:r>
        <w:rPr>
          <w:rFonts w:hint="eastAsia" w:asciiTheme="minorEastAsia" w:hAnsiTheme="minorEastAsia"/>
          <w:szCs w:val="21"/>
        </w:rPr>
        <w:t>一方面借助文化云对本馆所有读者活动进行宣传，包括活动通知发布、活动报道等内容；另一方面可以将本馆有特色的品牌活动进行云直播，比如敏读会、闵图妈妈小屋等品牌活动，进行网上直播、网上互动，让更多的公众参与到活动中来，以扩大品牌影响力，放大活动的社会效应。</w:t>
      </w:r>
    </w:p>
    <w:p>
      <w:pPr>
        <w:spacing w:line="360" w:lineRule="auto"/>
        <w:ind w:firstLine="480"/>
        <w:rPr>
          <w:rFonts w:ascii="微软雅黑" w:hAnsi="微软雅黑" w:eastAsia="微软雅黑"/>
          <w:b/>
          <w:szCs w:val="21"/>
        </w:rPr>
      </w:pPr>
      <w:r>
        <w:rPr>
          <w:rFonts w:hint="eastAsia" w:ascii="微软雅黑" w:hAnsi="微软雅黑" w:eastAsia="微软雅黑"/>
          <w:b/>
          <w:szCs w:val="21"/>
        </w:rPr>
        <w:t>五、合理引入社会力量，探索第三方参与图书馆治理机制。</w:t>
      </w:r>
    </w:p>
    <w:p>
      <w:pPr>
        <w:spacing w:line="360" w:lineRule="auto"/>
        <w:ind w:firstLine="480"/>
        <w:rPr>
          <w:rFonts w:asciiTheme="minorEastAsia" w:hAnsiTheme="minorEastAsia"/>
          <w:color w:val="FF0000"/>
          <w:szCs w:val="21"/>
        </w:rPr>
      </w:pPr>
      <w:r>
        <w:rPr>
          <w:rFonts w:hint="eastAsia" w:asciiTheme="minorEastAsia" w:hAnsiTheme="minorEastAsia"/>
          <w:b/>
          <w:szCs w:val="21"/>
        </w:rPr>
        <w:t>1、发挥理事会决策咨询职能。</w:t>
      </w:r>
      <w:r>
        <w:rPr>
          <w:rFonts w:hint="eastAsia" w:asciiTheme="minorEastAsia" w:hAnsiTheme="minorEastAsia"/>
          <w:szCs w:val="21"/>
        </w:rPr>
        <w:t>除了定期开好理事会会议、做好信息公开与工作报告外，我馆将进一步发挥各理事的潜力，尤其是发挥好6位社会理事的作用。一是通过2位业界专家，进一步与上海图书馆、交大图书馆之间形式更加良好、紧密的合作、交流关系，在学术研究、业务技能、馆员培训等方面开展广泛而深入的合作；二是发挥公益组织的优势，合作开展阅读推广活动，扩大图书馆社会影响力；三是根据各个理事的个人所长，鼓励他们来馆举办讲座、报告，或者邀请他们参与图书馆阅读推广活动的策划、组织与实施，以他们个人的社会影响力来推动全民阅读；四是在有条件的情况下，向各位理事创造更多的培训、参观、交流的机会，让他们更加深入地了解图书馆，了解图书馆事业，以便更好地为图书馆事业发展提供更多的决策咨询与支持。</w:t>
      </w:r>
    </w:p>
    <w:p>
      <w:pPr>
        <w:spacing w:line="360" w:lineRule="auto"/>
        <w:ind w:firstLine="480"/>
        <w:rPr>
          <w:rFonts w:asciiTheme="minorEastAsia" w:hAnsiTheme="minorEastAsia"/>
          <w:szCs w:val="21"/>
        </w:rPr>
      </w:pPr>
      <w:r>
        <w:rPr>
          <w:rFonts w:asciiTheme="minorEastAsia" w:hAnsiTheme="minorEastAsia"/>
          <w:b/>
          <w:szCs w:val="21"/>
        </w:rPr>
        <w:t>2</w:t>
      </w:r>
      <w:r>
        <w:rPr>
          <w:rFonts w:hint="eastAsia" w:asciiTheme="minorEastAsia" w:hAnsiTheme="minorEastAsia"/>
          <w:b/>
          <w:szCs w:val="21"/>
        </w:rPr>
        <w:t>、合作开展少儿阅读推广活动。</w:t>
      </w:r>
      <w:r>
        <w:rPr>
          <w:rFonts w:hint="eastAsia" w:asciiTheme="minorEastAsia" w:hAnsiTheme="minorEastAsia"/>
          <w:szCs w:val="21"/>
        </w:rPr>
        <w:t>一是引入社会力量，比如t&amp;c阅读树俱乐部、蚂蚁故事团、各普公益等社会公益文化组织，参与“闵图妈妈小屋”品牌系列活动的主题设计、活动策划与实施；二是继续与区电视台、报社、文趣闵行、闵行文化云等媒体组织合作，在少儿阅读推广活动宣传方面加大力度，扩大“闵图妈妈小屋”品牌社会影响力；三是待二楼少儿区域扩展后，可以将低幼读者服务区域作为试验田，引入社会第三方力量，参与该区域的管理与服务工作，以缓解图书馆人手紧张所带来的服务能力不足的问题。</w:t>
      </w:r>
    </w:p>
    <w:p>
      <w:pPr>
        <w:spacing w:line="360" w:lineRule="auto"/>
        <w:ind w:firstLine="480"/>
        <w:rPr>
          <w:rFonts w:asciiTheme="minorEastAsia" w:hAnsiTheme="minorEastAsia"/>
          <w:szCs w:val="21"/>
        </w:rPr>
      </w:pPr>
      <w:r>
        <w:rPr>
          <w:rFonts w:hint="eastAsia" w:asciiTheme="minorEastAsia" w:hAnsiTheme="minorEastAsia"/>
          <w:b/>
          <w:szCs w:val="21"/>
        </w:rPr>
        <w:t>3、发挥第三方力量积极作用。</w:t>
      </w:r>
      <w:r>
        <w:rPr>
          <w:rFonts w:hint="eastAsia" w:asciiTheme="minorEastAsia" w:hAnsiTheme="minorEastAsia"/>
          <w:szCs w:val="21"/>
        </w:rPr>
        <w:t>一是对排架服务外包方紧密对接，加强图书上架及时率、排架准确率的评价、监督与管理工作，保证第三方服务的质量；二是引入专业咨询机构，对图书馆服务进行年度第三方测评、追踪与评价服务；三是加强与物业公司的日常沟通与协调，保证图书馆服务场所的安全、保洁与设备维护等工作落到实处。</w:t>
      </w:r>
    </w:p>
    <w:p>
      <w:pPr>
        <w:spacing w:line="360" w:lineRule="auto"/>
        <w:ind w:firstLine="480"/>
        <w:rPr>
          <w:rFonts w:asciiTheme="minorEastAsia" w:hAnsiTheme="minorEastAsia"/>
          <w:szCs w:val="21"/>
        </w:rPr>
      </w:pPr>
      <w:r>
        <w:rPr>
          <w:rFonts w:hint="eastAsia" w:asciiTheme="minorEastAsia" w:hAnsiTheme="minorEastAsia"/>
          <w:b/>
          <w:szCs w:val="21"/>
        </w:rPr>
        <w:t>4、继续与区法宣办合作推进“法治文化圈”工作。</w:t>
      </w:r>
      <w:r>
        <w:rPr>
          <w:rFonts w:hint="eastAsia" w:asciiTheme="minorEastAsia" w:hAnsiTheme="minorEastAsia"/>
          <w:szCs w:val="21"/>
        </w:rPr>
        <w:t>在图书馆常年开设法律咨询点，坚持每周六（节假日除外）下午1</w:t>
      </w:r>
      <w:r>
        <w:rPr>
          <w:rFonts w:asciiTheme="minorEastAsia" w:hAnsiTheme="minorEastAsia"/>
          <w:szCs w:val="21"/>
        </w:rPr>
        <w:t>3</w:t>
      </w:r>
      <w:r>
        <w:rPr>
          <w:rFonts w:hint="eastAsia" w:asciiTheme="minorEastAsia" w:hAnsiTheme="minorEastAsia"/>
          <w:szCs w:val="21"/>
        </w:rPr>
        <w:t>：0</w:t>
      </w:r>
      <w:r>
        <w:rPr>
          <w:rFonts w:asciiTheme="minorEastAsia" w:hAnsiTheme="minorEastAsia"/>
          <w:szCs w:val="21"/>
        </w:rPr>
        <w:t>0-15</w:t>
      </w:r>
      <w:r>
        <w:rPr>
          <w:rFonts w:hint="eastAsia" w:asciiTheme="minorEastAsia" w:hAnsiTheme="minorEastAsia"/>
          <w:szCs w:val="21"/>
        </w:rPr>
        <w:t>：0</w:t>
      </w:r>
      <w:r>
        <w:rPr>
          <w:rFonts w:asciiTheme="minorEastAsia" w:hAnsiTheme="minorEastAsia"/>
          <w:szCs w:val="21"/>
        </w:rPr>
        <w:t>0</w:t>
      </w:r>
      <w:r>
        <w:rPr>
          <w:rFonts w:hint="eastAsia" w:asciiTheme="minorEastAsia" w:hAnsiTheme="minorEastAsia"/>
          <w:szCs w:val="21"/>
        </w:rPr>
        <w:t>两个小时免费的读者法律咨询服务；并定期或不定期地向读者推荐法律图书。</w:t>
      </w: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ind w:firstLine="480"/>
        <w:rPr>
          <w:rFonts w:asciiTheme="minorEastAsia" w:hAnsiTheme="minorEastAsia"/>
          <w:szCs w:val="21"/>
        </w:rPr>
      </w:pPr>
    </w:p>
    <w:p>
      <w:pPr>
        <w:spacing w:line="360" w:lineRule="auto"/>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二、闵行区图书馆2020年工作总结</w:t>
      </w:r>
    </w:p>
    <w:p>
      <w:pPr>
        <w:spacing w:line="360" w:lineRule="auto"/>
        <w:ind w:firstLine="420" w:firstLineChars="200"/>
        <w:rPr>
          <w:rFonts w:asciiTheme="minorEastAsia" w:hAnsiTheme="minorEastAsia"/>
          <w:szCs w:val="21"/>
        </w:rPr>
      </w:pPr>
      <w:r>
        <w:rPr>
          <w:rFonts w:asciiTheme="minorEastAsia" w:hAnsiTheme="minorEastAsia"/>
          <w:szCs w:val="21"/>
        </w:rPr>
        <w:t>2020</w:t>
      </w:r>
      <w:r>
        <w:rPr>
          <w:rFonts w:hint="eastAsia" w:asciiTheme="minorEastAsia" w:hAnsiTheme="minorEastAsia"/>
          <w:szCs w:val="21"/>
        </w:rPr>
        <w:t>年注定是不平凡的，年初爆发的新冠肺炎疫情彻底打乱了各行各业的正常工作秩序，图书馆也不得不对原有的工作计划作出调整或取消，放缓工作节奏，在全力打赢疫情防控阻击战的同时，争取图书馆工作不受太大影响。1月份也就是春节放假前图书馆工作还算是正常开展的，2</w:t>
      </w:r>
      <w:r>
        <w:rPr>
          <w:rFonts w:asciiTheme="minorEastAsia" w:hAnsiTheme="minorEastAsia"/>
          <w:szCs w:val="21"/>
        </w:rPr>
        <w:t>-3</w:t>
      </w:r>
      <w:r>
        <w:rPr>
          <w:rFonts w:hint="eastAsia" w:asciiTheme="minorEastAsia" w:hAnsiTheme="minorEastAsia"/>
          <w:szCs w:val="21"/>
        </w:rPr>
        <w:t>月全馆投入所有人力开展疫情防控工作，4月初恢复还书服务，5月份逐步恢复三楼借书及四楼、五楼、六楼阅览室开放，6月中旬恢复少儿图书借还服务。今年的读者活动主要以线上为主。</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一、读者服务</w:t>
      </w:r>
    </w:p>
    <w:p>
      <w:pPr>
        <w:spacing w:line="360" w:lineRule="auto"/>
        <w:ind w:firstLine="413" w:firstLineChars="196"/>
        <w:rPr>
          <w:rFonts w:asciiTheme="minorEastAsia" w:hAnsiTheme="minorEastAsia"/>
          <w:szCs w:val="21"/>
        </w:rPr>
      </w:pPr>
      <w:r>
        <w:rPr>
          <w:rFonts w:hint="eastAsia" w:asciiTheme="minorEastAsia" w:hAnsiTheme="minorEastAsia"/>
          <w:b/>
          <w:szCs w:val="21"/>
        </w:rPr>
        <w:t>1、窗口服务。</w:t>
      </w:r>
      <w:r>
        <w:rPr>
          <w:rFonts w:hint="eastAsia" w:asciiTheme="minorEastAsia" w:hAnsiTheme="minorEastAsia"/>
          <w:szCs w:val="21"/>
        </w:rPr>
        <w:t>自4月恢复还书服务以来，图书馆一直采取限流措施，从最初的每天预约数4</w:t>
      </w:r>
      <w:r>
        <w:rPr>
          <w:rFonts w:asciiTheme="minorEastAsia" w:hAnsiTheme="minorEastAsia"/>
          <w:szCs w:val="21"/>
        </w:rPr>
        <w:t>00</w:t>
      </w:r>
      <w:r>
        <w:rPr>
          <w:rFonts w:hint="eastAsia" w:asciiTheme="minorEastAsia" w:hAnsiTheme="minorEastAsia"/>
          <w:szCs w:val="21"/>
        </w:rPr>
        <w:t>人到目前1</w:t>
      </w:r>
      <w:r>
        <w:rPr>
          <w:rFonts w:asciiTheme="minorEastAsia" w:hAnsiTheme="minorEastAsia"/>
          <w:szCs w:val="21"/>
        </w:rPr>
        <w:t>200</w:t>
      </w:r>
      <w:r>
        <w:rPr>
          <w:rFonts w:hint="eastAsia" w:asciiTheme="minorEastAsia" w:hAnsiTheme="minorEastAsia"/>
          <w:szCs w:val="21"/>
        </w:rPr>
        <w:t>人，到馆读者人次大幅下降。全年读者借书</w:t>
      </w:r>
      <w:r>
        <w:rPr>
          <w:rFonts w:asciiTheme="minorEastAsia" w:hAnsiTheme="minorEastAsia"/>
          <w:szCs w:val="21"/>
        </w:rPr>
        <w:t>4</w:t>
      </w:r>
      <w:r>
        <w:rPr>
          <w:rFonts w:hint="eastAsia" w:asciiTheme="minorEastAsia" w:hAnsiTheme="minorEastAsia"/>
          <w:szCs w:val="21"/>
        </w:rPr>
        <w:t>3</w:t>
      </w:r>
      <w:r>
        <w:rPr>
          <w:rFonts w:asciiTheme="minorEastAsia" w:hAnsiTheme="minorEastAsia"/>
          <w:szCs w:val="21"/>
        </w:rPr>
        <w:t>.9</w:t>
      </w:r>
      <w:r>
        <w:rPr>
          <w:rFonts w:hint="eastAsia" w:asciiTheme="minorEastAsia" w:hAnsiTheme="minorEastAsia"/>
          <w:szCs w:val="21"/>
        </w:rPr>
        <w:t>3万册次，还书44.81</w:t>
      </w:r>
      <w:r>
        <w:rPr>
          <w:rFonts w:asciiTheme="minorEastAsia" w:hAnsiTheme="minorEastAsia"/>
          <w:szCs w:val="21"/>
        </w:rPr>
        <w:t>万册次</w:t>
      </w:r>
      <w:r>
        <w:rPr>
          <w:rFonts w:hint="eastAsia" w:asciiTheme="minorEastAsia" w:hAnsiTheme="minorEastAsia"/>
          <w:szCs w:val="21"/>
        </w:rPr>
        <w:t>，</w:t>
      </w:r>
      <w:r>
        <w:rPr>
          <w:rFonts w:asciiTheme="minorEastAsia" w:hAnsiTheme="minorEastAsia"/>
          <w:szCs w:val="21"/>
        </w:rPr>
        <w:t>其中少儿</w:t>
      </w:r>
      <w:r>
        <w:rPr>
          <w:rFonts w:hint="eastAsia" w:asciiTheme="minorEastAsia" w:hAnsiTheme="minorEastAsia"/>
          <w:szCs w:val="21"/>
        </w:rPr>
        <w:t>借书19</w:t>
      </w:r>
      <w:r>
        <w:rPr>
          <w:rFonts w:asciiTheme="minorEastAsia" w:hAnsiTheme="minorEastAsia"/>
          <w:szCs w:val="21"/>
        </w:rPr>
        <w:t>.</w:t>
      </w:r>
      <w:r>
        <w:rPr>
          <w:rFonts w:hint="eastAsia" w:asciiTheme="minorEastAsia" w:hAnsiTheme="minorEastAsia"/>
          <w:szCs w:val="21"/>
        </w:rPr>
        <w:t>32</w:t>
      </w:r>
      <w:r>
        <w:rPr>
          <w:rFonts w:asciiTheme="minorEastAsia" w:hAnsiTheme="minorEastAsia"/>
          <w:szCs w:val="21"/>
        </w:rPr>
        <w:t>万册次</w:t>
      </w:r>
      <w:r>
        <w:rPr>
          <w:rFonts w:hint="eastAsia" w:asciiTheme="minorEastAsia" w:hAnsiTheme="minorEastAsia"/>
          <w:szCs w:val="21"/>
        </w:rPr>
        <w:t>，</w:t>
      </w:r>
      <w:r>
        <w:rPr>
          <w:rFonts w:asciiTheme="minorEastAsia" w:hAnsiTheme="minorEastAsia"/>
          <w:szCs w:val="21"/>
        </w:rPr>
        <w:t>还书</w:t>
      </w:r>
      <w:r>
        <w:rPr>
          <w:rFonts w:hint="eastAsia" w:asciiTheme="minorEastAsia" w:hAnsiTheme="minorEastAsia"/>
          <w:szCs w:val="21"/>
        </w:rPr>
        <w:t>19.69</w:t>
      </w:r>
      <w:r>
        <w:rPr>
          <w:rFonts w:asciiTheme="minorEastAsia" w:hAnsiTheme="minorEastAsia"/>
          <w:szCs w:val="21"/>
        </w:rPr>
        <w:t>万册次，接待</w:t>
      </w:r>
      <w:r>
        <w:rPr>
          <w:rFonts w:hint="eastAsia" w:asciiTheme="minorEastAsia" w:hAnsiTheme="minorEastAsia"/>
          <w:szCs w:val="21"/>
        </w:rPr>
        <w:t>到馆读者</w:t>
      </w:r>
      <w:r>
        <w:rPr>
          <w:rFonts w:asciiTheme="minorEastAsia" w:hAnsiTheme="minorEastAsia"/>
          <w:szCs w:val="21"/>
        </w:rPr>
        <w:t>39.</w:t>
      </w:r>
      <w:r>
        <w:rPr>
          <w:rFonts w:hint="eastAsia" w:asciiTheme="minorEastAsia" w:hAnsiTheme="minorEastAsia"/>
          <w:szCs w:val="21"/>
        </w:rPr>
        <w:t>54万人次。办理读者证</w:t>
      </w:r>
      <w:r>
        <w:rPr>
          <w:rFonts w:asciiTheme="minorEastAsia" w:hAnsiTheme="minorEastAsia"/>
          <w:szCs w:val="21"/>
        </w:rPr>
        <w:t>243</w:t>
      </w:r>
      <w:r>
        <w:rPr>
          <w:rFonts w:hint="eastAsia" w:asciiTheme="minorEastAsia" w:hAnsiTheme="minorEastAsia"/>
          <w:szCs w:val="21"/>
        </w:rPr>
        <w:t>9张，目前持证读者1</w:t>
      </w:r>
      <w:r>
        <w:rPr>
          <w:rFonts w:asciiTheme="minorEastAsia" w:hAnsiTheme="minorEastAsia"/>
          <w:szCs w:val="21"/>
        </w:rPr>
        <w:t>3.5</w:t>
      </w:r>
      <w:r>
        <w:rPr>
          <w:rFonts w:hint="eastAsia" w:asciiTheme="minorEastAsia" w:hAnsiTheme="minorEastAsia"/>
          <w:szCs w:val="21"/>
        </w:rPr>
        <w:t>4万人。</w:t>
      </w:r>
    </w:p>
    <w:p>
      <w:pPr>
        <w:spacing w:line="360" w:lineRule="auto"/>
        <w:ind w:firstLine="480"/>
        <w:rPr>
          <w:rFonts w:asciiTheme="minorEastAsia" w:hAnsiTheme="minorEastAsia"/>
          <w:szCs w:val="21"/>
        </w:rPr>
      </w:pPr>
      <w:r>
        <w:rPr>
          <w:rFonts w:asciiTheme="minorEastAsia" w:hAnsiTheme="minorEastAsia"/>
          <w:b/>
          <w:szCs w:val="21"/>
        </w:rPr>
        <w:t>2</w:t>
      </w:r>
      <w:r>
        <w:rPr>
          <w:rFonts w:hint="eastAsia" w:asciiTheme="minorEastAsia" w:hAnsiTheme="minorEastAsia"/>
          <w:b/>
          <w:szCs w:val="21"/>
        </w:rPr>
        <w:t>、数字服务。</w:t>
      </w:r>
      <w:r>
        <w:rPr>
          <w:rFonts w:hint="eastAsia" w:asciiTheme="minorEastAsia" w:hAnsiTheme="minorEastAsia"/>
          <w:szCs w:val="21"/>
        </w:rPr>
        <w:t>全年无线上网</w:t>
      </w:r>
      <w:r>
        <w:rPr>
          <w:rFonts w:asciiTheme="minorEastAsia" w:hAnsiTheme="minorEastAsia"/>
          <w:szCs w:val="21"/>
        </w:rPr>
        <w:t>6.99</w:t>
      </w:r>
      <w:r>
        <w:rPr>
          <w:rFonts w:hint="eastAsia" w:asciiTheme="minorEastAsia" w:hAnsiTheme="minorEastAsia"/>
          <w:szCs w:val="21"/>
        </w:rPr>
        <w:t>万人次，数字资源检索量</w:t>
      </w:r>
      <w:r>
        <w:rPr>
          <w:rFonts w:hint="eastAsia" w:ascii="宋体" w:hAnsi="宋体" w:eastAsia="宋体" w:cs="宋体"/>
          <w:color w:val="000000"/>
          <w:sz w:val="20"/>
          <w:szCs w:val="20"/>
        </w:rPr>
        <w:t>5525610</w:t>
      </w:r>
      <w:r>
        <w:rPr>
          <w:rFonts w:hint="eastAsia" w:asciiTheme="minorEastAsia" w:hAnsiTheme="minorEastAsia"/>
          <w:szCs w:val="21"/>
        </w:rPr>
        <w:t>篇次，访问量</w:t>
      </w:r>
      <w:r>
        <w:rPr>
          <w:rFonts w:hint="eastAsia" w:ascii="宋体" w:hAnsi="宋体" w:eastAsia="宋体" w:cs="宋体"/>
          <w:color w:val="000000"/>
          <w:sz w:val="20"/>
          <w:szCs w:val="20"/>
        </w:rPr>
        <w:t>3351479</w:t>
      </w:r>
      <w:r>
        <w:rPr>
          <w:rFonts w:hint="eastAsia" w:asciiTheme="minorEastAsia" w:hAnsiTheme="minorEastAsia"/>
          <w:szCs w:val="21"/>
        </w:rPr>
        <w:t>篇次、微信端访问量</w:t>
      </w:r>
      <w:r>
        <w:rPr>
          <w:rFonts w:hint="eastAsia" w:ascii="宋体" w:hAnsi="宋体" w:eastAsia="宋体" w:cs="宋体"/>
          <w:color w:val="000000"/>
        </w:rPr>
        <w:t>479412</w:t>
      </w:r>
      <w:r>
        <w:rPr>
          <w:rFonts w:hint="eastAsia" w:asciiTheme="minorEastAsia" w:hAnsiTheme="minorEastAsia"/>
          <w:szCs w:val="21"/>
        </w:rPr>
        <w:t>篇次</w:t>
      </w:r>
      <w:r>
        <w:rPr>
          <w:rFonts w:asciiTheme="minorEastAsia" w:hAnsiTheme="minorEastAsia"/>
          <w:szCs w:val="21"/>
        </w:rPr>
        <w:t xml:space="preserve"> </w:t>
      </w:r>
      <w:r>
        <w:rPr>
          <w:rFonts w:hint="eastAsia" w:asciiTheme="minorEastAsia" w:hAnsiTheme="minorEastAsia"/>
          <w:szCs w:val="21"/>
        </w:rPr>
        <w:t>、下载量</w:t>
      </w:r>
      <w:r>
        <w:rPr>
          <w:rFonts w:hint="eastAsia" w:ascii="宋体" w:hAnsi="宋体" w:eastAsia="宋体" w:cs="宋体"/>
          <w:color w:val="000000"/>
          <w:sz w:val="20"/>
          <w:szCs w:val="20"/>
        </w:rPr>
        <w:t>492197</w:t>
      </w:r>
      <w:r>
        <w:rPr>
          <w:rFonts w:hint="eastAsia" w:asciiTheme="minorEastAsia" w:hAnsiTheme="minorEastAsia"/>
          <w:szCs w:val="21"/>
        </w:rPr>
        <w:t>篇次，电子图书外借</w:t>
      </w:r>
      <w:r>
        <w:rPr>
          <w:rFonts w:hint="eastAsia" w:ascii="宋体" w:hAnsi="宋体" w:eastAsia="宋体" w:cs="宋体"/>
          <w:color w:val="000000"/>
        </w:rPr>
        <w:t>99530</w:t>
      </w:r>
      <w:r>
        <w:rPr>
          <w:rFonts w:hint="eastAsia" w:asciiTheme="minorEastAsia" w:hAnsiTheme="minorEastAsia"/>
          <w:szCs w:val="21"/>
        </w:rPr>
        <w:t>册次。较往年，移动端访问量有所提升。</w:t>
      </w:r>
    </w:p>
    <w:p>
      <w:pPr>
        <w:spacing w:line="360" w:lineRule="auto"/>
        <w:ind w:firstLine="480"/>
        <w:rPr>
          <w:rFonts w:asciiTheme="minorEastAsia" w:hAnsiTheme="minorEastAsia"/>
          <w:szCs w:val="21"/>
        </w:rPr>
      </w:pPr>
      <w:r>
        <w:rPr>
          <w:rFonts w:hint="eastAsia" w:asciiTheme="minorEastAsia" w:hAnsiTheme="minorEastAsia"/>
          <w:b/>
          <w:szCs w:val="21"/>
        </w:rPr>
        <w:t>3、馆藏发展。</w:t>
      </w:r>
      <w:r>
        <w:rPr>
          <w:rFonts w:hint="eastAsia" w:asciiTheme="minorEastAsia" w:hAnsiTheme="minorEastAsia"/>
          <w:szCs w:val="21"/>
        </w:rPr>
        <w:t>全年共采购新书</w:t>
      </w:r>
      <w:r>
        <w:rPr>
          <w:rFonts w:asciiTheme="minorEastAsia" w:hAnsiTheme="minorEastAsia"/>
          <w:szCs w:val="21"/>
        </w:rPr>
        <w:t>724</w:t>
      </w:r>
      <w:r>
        <w:rPr>
          <w:rFonts w:hint="eastAsia" w:asciiTheme="minorEastAsia" w:hAnsiTheme="minorEastAsia"/>
          <w:szCs w:val="21"/>
        </w:rPr>
        <w:t>58册，入藏图书</w:t>
      </w:r>
      <w:r>
        <w:rPr>
          <w:rFonts w:asciiTheme="minorEastAsia" w:hAnsiTheme="minorEastAsia"/>
          <w:szCs w:val="21"/>
        </w:rPr>
        <w:t>6</w:t>
      </w:r>
      <w:r>
        <w:rPr>
          <w:rFonts w:hint="eastAsia" w:asciiTheme="minorEastAsia" w:hAnsiTheme="minorEastAsia"/>
          <w:szCs w:val="21"/>
        </w:rPr>
        <w:t>1617册，其中少儿图书</w:t>
      </w:r>
      <w:r>
        <w:rPr>
          <w:rFonts w:asciiTheme="minorEastAsia" w:hAnsiTheme="minorEastAsia"/>
          <w:szCs w:val="21"/>
        </w:rPr>
        <w:t>2</w:t>
      </w:r>
      <w:r>
        <w:rPr>
          <w:rFonts w:hint="eastAsia" w:asciiTheme="minorEastAsia" w:hAnsiTheme="minorEastAsia"/>
          <w:szCs w:val="21"/>
        </w:rPr>
        <w:t>0566万册。目前馆藏总量达近</w:t>
      </w:r>
      <w:r>
        <w:rPr>
          <w:rFonts w:asciiTheme="minorEastAsia" w:hAnsiTheme="minorEastAsia"/>
          <w:szCs w:val="21"/>
        </w:rPr>
        <w:t>152.94</w:t>
      </w:r>
      <w:r>
        <w:rPr>
          <w:rFonts w:hint="eastAsia" w:asciiTheme="minorEastAsia" w:hAnsiTheme="minorEastAsia"/>
          <w:szCs w:val="21"/>
        </w:rPr>
        <w:t>万册件。订购报纸期刊1394种，其中少儿报刊2</w:t>
      </w:r>
      <w:r>
        <w:rPr>
          <w:rFonts w:asciiTheme="minorEastAsia" w:hAnsiTheme="minorEastAsia"/>
          <w:szCs w:val="21"/>
        </w:rPr>
        <w:t>53</w:t>
      </w:r>
      <w:r>
        <w:rPr>
          <w:rFonts w:hint="eastAsia" w:asciiTheme="minorEastAsia" w:hAnsiTheme="minorEastAsia"/>
          <w:szCs w:val="21"/>
        </w:rPr>
        <w:t>种。</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二、读者活动</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因疫情原因线下活动基本暂停，主要以线上活动为主。全年共开展线上线下活动共计47场， 26367名读者参与。</w:t>
      </w:r>
    </w:p>
    <w:p>
      <w:pPr>
        <w:spacing w:line="360" w:lineRule="auto"/>
        <w:ind w:firstLine="420" w:firstLineChars="200"/>
        <w:rPr>
          <w:rFonts w:ascii="微软雅黑" w:hAnsi="微软雅黑" w:eastAsia="微软雅黑"/>
          <w:b/>
          <w:szCs w:val="21"/>
        </w:rPr>
      </w:pPr>
      <w:r>
        <w:rPr>
          <w:rFonts w:ascii="微软雅黑" w:hAnsi="微软雅黑" w:eastAsia="微软雅黑"/>
          <w:b/>
          <w:szCs w:val="21"/>
        </w:rPr>
        <w:t>1</w:t>
      </w:r>
      <w:r>
        <w:rPr>
          <w:rFonts w:hint="eastAsia" w:ascii="微软雅黑" w:hAnsi="微软雅黑" w:eastAsia="微软雅黑"/>
          <w:b/>
          <w:szCs w:val="21"/>
        </w:rPr>
        <w:t>、2020上海童话节系列活动</w:t>
      </w:r>
    </w:p>
    <w:p>
      <w:pPr>
        <w:spacing w:line="360" w:lineRule="auto"/>
        <w:ind w:firstLine="420" w:firstLineChars="200"/>
        <w:jc w:val="left"/>
        <w:rPr>
          <w:rFonts w:cs="仿宋_GB2312" w:asciiTheme="minorEastAsia" w:hAnsiTheme="minorEastAsia"/>
          <w:kern w:val="28"/>
          <w:szCs w:val="21"/>
        </w:rPr>
      </w:pPr>
      <w:r>
        <w:rPr>
          <w:rFonts w:hint="eastAsia" w:asciiTheme="minorEastAsia" w:hAnsiTheme="minorEastAsia"/>
          <w:szCs w:val="21"/>
        </w:rPr>
        <w:t>（1）</w:t>
      </w:r>
      <w:r>
        <w:rPr>
          <w:rFonts w:hint="eastAsia" w:cs="仿宋_GB2312" w:asciiTheme="minorEastAsia" w:hAnsiTheme="minorEastAsia"/>
          <w:szCs w:val="21"/>
        </w:rPr>
        <w:t>“童心战疫”亲子朗读声音档案大征集。</w:t>
      </w:r>
      <w:r>
        <w:rPr>
          <w:rFonts w:hint="eastAsia" w:cs="仿宋_GB2312" w:asciiTheme="minorEastAsia" w:hAnsiTheme="minorEastAsia"/>
          <w:kern w:val="28"/>
          <w:szCs w:val="21"/>
        </w:rPr>
        <w:t>自5月发动海选，向全区3-12岁适龄儿童征集朗读音频，参赛家庭通过选择适合朗读的童书、家书家信或发生在身边的感人故事，录制为音频，在非常时期非常记录，用朗读传递关爱与信心。我馆将经过筛选后向市少儿馆报送10份高质量作品，参与总评选。</w:t>
      </w:r>
    </w:p>
    <w:p>
      <w:pPr>
        <w:spacing w:line="360" w:lineRule="auto"/>
        <w:ind w:firstLine="420" w:firstLineChars="200"/>
        <w:jc w:val="left"/>
        <w:rPr>
          <w:rFonts w:asciiTheme="minorEastAsia" w:hAnsiTheme="minorEastAsia"/>
          <w:szCs w:val="21"/>
        </w:rPr>
      </w:pPr>
      <w:r>
        <w:rPr>
          <w:rFonts w:hint="eastAsia" w:cs="仿宋_GB2312" w:asciiTheme="minorEastAsia" w:hAnsiTheme="minorEastAsia"/>
          <w:kern w:val="28"/>
          <w:szCs w:val="21"/>
        </w:rPr>
        <w:t>（2）快乐“六一”</w:t>
      </w:r>
      <w:r>
        <w:rPr>
          <w:rFonts w:hint="eastAsia" w:cs="宋体" w:asciiTheme="minorEastAsia" w:hAnsiTheme="minorEastAsia"/>
          <w:kern w:val="28"/>
          <w:szCs w:val="21"/>
        </w:rPr>
        <w:t>•</w:t>
      </w:r>
      <w:r>
        <w:rPr>
          <w:rFonts w:hint="eastAsia" w:cs="仿宋" w:asciiTheme="minorEastAsia" w:hAnsiTheme="minorEastAsia"/>
          <w:kern w:val="28"/>
          <w:szCs w:val="21"/>
        </w:rPr>
        <w:t>编程“粽”动员少</w:t>
      </w:r>
      <w:r>
        <w:rPr>
          <w:rFonts w:hint="eastAsia" w:cs="仿宋_GB2312" w:asciiTheme="minorEastAsia" w:hAnsiTheme="minorEastAsia"/>
          <w:kern w:val="28"/>
          <w:szCs w:val="21"/>
        </w:rPr>
        <w:t>儿编程线上竞赛。通过开展三场赛前直播特训课和线上竞赛，</w:t>
      </w:r>
      <w:r>
        <w:rPr>
          <w:rFonts w:hint="eastAsia" w:asciiTheme="minorEastAsia" w:hAnsiTheme="minorEastAsia"/>
          <w:szCs w:val="21"/>
        </w:rPr>
        <w:t>以线上创作的形式，将编程与中华传统文化主题相结合，寓教于乐，为广大少年儿童普及未来人工智能时代的核心技术，并趣味解读端午节的文化魅力。本次活动吸引了区内逾580名读者的积极参与，点击阅读量破6000次、参与观看直播课程逾2000人次。</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（3）“</w:t>
      </w:r>
      <w:r>
        <w:rPr>
          <w:rFonts w:hint="eastAsia" w:cs="楷体" w:asciiTheme="minorEastAsia" w:hAnsiTheme="minorEastAsia"/>
          <w:kern w:val="0"/>
          <w:szCs w:val="21"/>
        </w:rPr>
        <w:t>4</w:t>
      </w:r>
      <w:r>
        <w:rPr>
          <w:rFonts w:hint="eastAsia" w:cs="宋体" w:asciiTheme="minorEastAsia" w:hAnsiTheme="minorEastAsia"/>
          <w:kern w:val="28"/>
          <w:szCs w:val="21"/>
        </w:rPr>
        <w:t>•</w:t>
      </w:r>
      <w:r>
        <w:rPr>
          <w:rFonts w:hint="eastAsia" w:cs="楷体" w:asciiTheme="minorEastAsia" w:hAnsiTheme="minorEastAsia"/>
          <w:kern w:val="0"/>
          <w:szCs w:val="21"/>
        </w:rPr>
        <w:t xml:space="preserve">23 </w:t>
      </w:r>
      <w:r>
        <w:rPr>
          <w:rFonts w:hint="eastAsia" w:asciiTheme="minorEastAsia" w:hAnsiTheme="minorEastAsia"/>
          <w:szCs w:val="21"/>
        </w:rPr>
        <w:t>探寻传统文化 品味经典书韵”线上竞答活动。将社会主义核心价值观与中华优秀传统文化相结合，以网络答题闯关的形式，普及推广中国文学、传统文化、历史地理、百科常识等。活动持续开展三天，每天3场竞答。在区内各街镇图书馆积极响应、广泛宣传，形成传播合力下，吸引了逾千名青少年及成人读者的积极参与，总计开启逾三千场次的竞答，其中不乏连续打卡完成9场的“问答达人”。</w:t>
      </w:r>
    </w:p>
    <w:p>
      <w:pPr>
        <w:spacing w:line="360" w:lineRule="auto"/>
        <w:jc w:val="left"/>
        <w:rPr>
          <w:rFonts w:asciiTheme="minorEastAsia" w:hAnsiTheme="minorEastAsia"/>
          <w:szCs w:val="21"/>
        </w:rPr>
      </w:pPr>
      <w:r>
        <w:rPr>
          <w:rFonts w:hint="eastAsia" w:asciiTheme="minorEastAsia" w:hAnsiTheme="minorEastAsia"/>
          <w:b/>
          <w:szCs w:val="21"/>
        </w:rPr>
        <w:t xml:space="preserve">    </w:t>
      </w:r>
      <w:r>
        <w:rPr>
          <w:rFonts w:hint="eastAsia" w:asciiTheme="minorEastAsia" w:hAnsiTheme="minorEastAsia"/>
          <w:szCs w:val="21"/>
        </w:rPr>
        <w:t>（4）“防疫照片+视频+语录”线上征集活动。2月至4月期间，我馆在微信公众号、新浪微博等平台开展“收集你心中的武汉，为她加油”原创照片及“100字形容本次疫情给你带来的影响和改变”语录征集活动，并择优发布传播。点击阅读量破千，并征集到逾50张照片、30份语录。</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2、市民文化节活动</w:t>
      </w:r>
    </w:p>
    <w:p>
      <w:pPr>
        <w:spacing w:line="360" w:lineRule="auto"/>
        <w:ind w:firstLine="420" w:firstLineChars="200"/>
        <w:jc w:val="left"/>
        <w:rPr>
          <w:rFonts w:asciiTheme="minorEastAsia" w:hAnsiTheme="minorEastAsia"/>
          <w:szCs w:val="21"/>
        </w:rPr>
      </w:pPr>
      <w:r>
        <w:rPr>
          <w:rFonts w:hint="eastAsia" w:cs="仿宋_GB2312" w:asciiTheme="minorEastAsia" w:hAnsiTheme="minorEastAsia"/>
          <w:kern w:val="28"/>
          <w:szCs w:val="21"/>
        </w:rPr>
        <w:t>（1）“海上美谈”市民演讲大赛活动。</w:t>
      </w:r>
      <w:r>
        <w:rPr>
          <w:rFonts w:hint="eastAsia" w:asciiTheme="minorEastAsia" w:hAnsiTheme="minorEastAsia"/>
          <w:szCs w:val="21"/>
        </w:rPr>
        <w:t>2019年12月至2020年4月期间，</w:t>
      </w:r>
      <w:r>
        <w:rPr>
          <w:rFonts w:asciiTheme="minorEastAsia" w:hAnsiTheme="minorEastAsia"/>
          <w:szCs w:val="21"/>
        </w:rPr>
        <w:t>以“美”为主题</w:t>
      </w:r>
      <w:r>
        <w:rPr>
          <w:rFonts w:hint="eastAsia" w:asciiTheme="minorEastAsia" w:hAnsiTheme="minorEastAsia"/>
          <w:szCs w:val="21"/>
        </w:rPr>
        <w:t>，鼓励市民以</w:t>
      </w:r>
      <w:r>
        <w:rPr>
          <w:rFonts w:asciiTheme="minorEastAsia" w:hAnsiTheme="minorEastAsia"/>
          <w:szCs w:val="21"/>
        </w:rPr>
        <w:t>演讲的形式</w:t>
      </w:r>
      <w:r>
        <w:rPr>
          <w:rFonts w:hint="eastAsia" w:asciiTheme="minorEastAsia" w:hAnsiTheme="minorEastAsia"/>
          <w:szCs w:val="21"/>
        </w:rPr>
        <w:t>，</w:t>
      </w:r>
      <w:r>
        <w:rPr>
          <w:rFonts w:asciiTheme="minorEastAsia" w:hAnsiTheme="minorEastAsia"/>
          <w:szCs w:val="21"/>
        </w:rPr>
        <w:t>讲述“我的小美好”</w:t>
      </w:r>
      <w:r>
        <w:rPr>
          <w:rFonts w:hint="eastAsia" w:asciiTheme="minorEastAsia" w:hAnsiTheme="minorEastAsia"/>
          <w:szCs w:val="21"/>
        </w:rPr>
        <w:t>。海选阶段，我馆共计征集到逾30份高质量演讲视频，并筛选报送7份参与市级评选。最终2位荣获“百名市民演讲达人”称号，其中，章家华还作为“市民演讲推广大使”进行了落幕展演。</w:t>
      </w:r>
    </w:p>
    <w:p>
      <w:pPr>
        <w:spacing w:line="360" w:lineRule="auto"/>
        <w:rPr>
          <w:rFonts w:asciiTheme="minorEastAsia" w:hAnsiTheme="minorEastAsia"/>
          <w:szCs w:val="21"/>
        </w:rPr>
      </w:pPr>
      <w:r>
        <w:rPr>
          <w:rFonts w:hint="eastAsia" w:asciiTheme="minorEastAsia" w:hAnsiTheme="minorEastAsia"/>
          <w:b/>
          <w:szCs w:val="21"/>
        </w:rPr>
        <w:t xml:space="preserve">    </w:t>
      </w:r>
      <w:r>
        <w:rPr>
          <w:rFonts w:hint="eastAsia" w:asciiTheme="minorEastAsia" w:hAnsiTheme="minorEastAsia"/>
          <w:szCs w:val="21"/>
        </w:rPr>
        <w:t>（2）“我的健康我做主”市民健康知识大赛。</w:t>
      </w:r>
      <w:r>
        <w:rPr>
          <w:rFonts w:asciiTheme="minorEastAsia" w:hAnsiTheme="minorEastAsia"/>
          <w:szCs w:val="21"/>
        </w:rPr>
        <w:t>3</w:t>
      </w:r>
      <w:r>
        <w:rPr>
          <w:rFonts w:hint="eastAsia" w:asciiTheme="minorEastAsia" w:hAnsiTheme="minorEastAsia"/>
          <w:szCs w:val="21"/>
        </w:rPr>
        <w:t>月</w:t>
      </w:r>
      <w:r>
        <w:rPr>
          <w:rFonts w:asciiTheme="minorEastAsia" w:hAnsiTheme="minorEastAsia"/>
          <w:szCs w:val="21"/>
        </w:rPr>
        <w:t>28</w:t>
      </w:r>
      <w:r>
        <w:rPr>
          <w:rFonts w:hint="eastAsia" w:asciiTheme="minorEastAsia" w:hAnsiTheme="minorEastAsia"/>
          <w:szCs w:val="21"/>
        </w:rPr>
        <w:t>日至</w:t>
      </w:r>
      <w:r>
        <w:rPr>
          <w:rFonts w:asciiTheme="minorEastAsia" w:hAnsiTheme="minorEastAsia"/>
          <w:szCs w:val="21"/>
        </w:rPr>
        <w:t>6</w:t>
      </w:r>
      <w:r>
        <w:rPr>
          <w:rFonts w:hint="eastAsia" w:asciiTheme="minorEastAsia" w:hAnsiTheme="minorEastAsia"/>
          <w:szCs w:val="21"/>
        </w:rPr>
        <w:t>月</w:t>
      </w:r>
      <w:r>
        <w:rPr>
          <w:rFonts w:asciiTheme="minorEastAsia" w:hAnsiTheme="minorEastAsia"/>
          <w:szCs w:val="21"/>
        </w:rPr>
        <w:t>25</w:t>
      </w:r>
      <w:r>
        <w:rPr>
          <w:rFonts w:hint="eastAsia" w:asciiTheme="minorEastAsia" w:hAnsiTheme="minorEastAsia"/>
          <w:szCs w:val="21"/>
        </w:rPr>
        <w:t>日期间，通过“在线竞答+在线课堂”形式，开展市民健康知识大赛，</w:t>
      </w:r>
      <w:r>
        <w:rPr>
          <w:rFonts w:hint="eastAsia" w:cs="仿宋_GB2312" w:asciiTheme="minorEastAsia" w:hAnsiTheme="minorEastAsia"/>
          <w:szCs w:val="21"/>
        </w:rPr>
        <w:t>以健康文化、疾病预防、营养美食、心理健康、防疫知识为五大主题，提升广大市民的健康科学素养。经过广泛宣传发动，全区参与逾1000人次。</w:t>
      </w:r>
    </w:p>
    <w:p>
      <w:pPr>
        <w:spacing w:line="360" w:lineRule="auto"/>
        <w:ind w:firstLine="420" w:firstLineChars="200"/>
        <w:rPr>
          <w:rFonts w:cs="仿宋_GB2312" w:asciiTheme="minorEastAsia" w:hAnsiTheme="minorEastAsia"/>
          <w:szCs w:val="21"/>
        </w:rPr>
      </w:pPr>
      <w:r>
        <w:rPr>
          <w:rFonts w:hint="eastAsia" w:cs="仿宋_GB2312" w:asciiTheme="minorEastAsia" w:hAnsiTheme="minorEastAsia"/>
          <w:szCs w:val="21"/>
        </w:rPr>
        <w:t>（3）青少年传统文化知识大赛。自6月启动赛事，以</w:t>
      </w:r>
      <w:r>
        <w:rPr>
          <w:rFonts w:hint="eastAsia" w:cs="仿宋_GB2312" w:asciiTheme="minorEastAsia" w:hAnsiTheme="minorEastAsia"/>
          <w:kern w:val="28"/>
          <w:szCs w:val="21"/>
        </w:rPr>
        <w:t>中华优秀传统文化知识为内容、“绿水青山”为主题，采用线上名师讲学、答题闯关、互动交流等多种形式。目前，已</w:t>
      </w:r>
      <w:r>
        <w:rPr>
          <w:rFonts w:hint="eastAsia" w:cs="仿宋_GB2312" w:asciiTheme="minorEastAsia" w:hAnsiTheme="minorEastAsia"/>
          <w:szCs w:val="21"/>
        </w:rPr>
        <w:t>发动区内适龄青少年儿童参加网络海选答题。</w:t>
      </w:r>
    </w:p>
    <w:p>
      <w:pPr>
        <w:spacing w:line="360" w:lineRule="auto"/>
        <w:ind w:firstLine="420" w:firstLineChars="200"/>
        <w:rPr>
          <w:rFonts w:cs="仿宋_GB2312" w:asciiTheme="minorEastAsia" w:hAnsiTheme="minorEastAsia"/>
          <w:kern w:val="28"/>
          <w:szCs w:val="21"/>
        </w:rPr>
      </w:pPr>
      <w:r>
        <w:rPr>
          <w:rFonts w:hint="eastAsia" w:cs="仿宋_GB2312" w:asciiTheme="minorEastAsia" w:hAnsiTheme="minorEastAsia"/>
          <w:szCs w:val="21"/>
        </w:rPr>
        <w:t>（4）“</w:t>
      </w:r>
      <w:r>
        <w:rPr>
          <w:rFonts w:cs="仿宋_GB2312" w:asciiTheme="minorEastAsia" w:hAnsiTheme="minorEastAsia"/>
          <w:szCs w:val="21"/>
        </w:rPr>
        <w:t>全面奔小康</w:t>
      </w:r>
      <w:r>
        <w:rPr>
          <w:rFonts w:hint="eastAsia" w:cs="仿宋_GB2312" w:asciiTheme="minorEastAsia" w:hAnsiTheme="minorEastAsia"/>
          <w:szCs w:val="21"/>
        </w:rPr>
        <w:t>”</w:t>
      </w:r>
      <w:r>
        <w:rPr>
          <w:rFonts w:cs="仿宋_GB2312" w:asciiTheme="minorEastAsia" w:hAnsiTheme="minorEastAsia"/>
          <w:szCs w:val="21"/>
        </w:rPr>
        <w:t>知识大赛</w:t>
      </w:r>
      <w:r>
        <w:rPr>
          <w:rFonts w:hint="eastAsia" w:cs="仿宋_GB2312" w:asciiTheme="minorEastAsia" w:hAnsiTheme="minorEastAsia"/>
          <w:szCs w:val="21"/>
        </w:rPr>
        <w:t>。</w:t>
      </w:r>
      <w:r>
        <w:rPr>
          <w:rFonts w:hint="eastAsia" w:cs="仿宋_GB2312" w:asciiTheme="minorEastAsia" w:hAnsiTheme="minorEastAsia"/>
          <w:kern w:val="28"/>
          <w:szCs w:val="21"/>
        </w:rPr>
        <w:t>拟于6月启动赛事，引领市民站在新时代回望不平凡的小康建设之路，以线上答题的形式，开展常规阶段赛及限时特别赛，内容涵盖民富国强篇、品质生活篇、山清水秀篇，侧重上海本地成果成就和文化版块内容。</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3、上海书展</w:t>
      </w:r>
    </w:p>
    <w:p>
      <w:pPr>
        <w:spacing w:line="360" w:lineRule="auto"/>
        <w:ind w:firstLine="560"/>
        <w:rPr>
          <w:rFonts w:cs="仿宋" w:asciiTheme="minorEastAsia" w:hAnsiTheme="minorEastAsia"/>
          <w:szCs w:val="21"/>
          <w:lang w:val="zh-TW"/>
        </w:rPr>
      </w:pPr>
      <w:r>
        <w:rPr>
          <w:rFonts w:hint="eastAsia" w:cs="仿宋" w:asciiTheme="minorEastAsia" w:hAnsiTheme="minorEastAsia"/>
          <w:szCs w:val="21"/>
          <w:lang w:val="zh-TW"/>
        </w:rPr>
        <w:t>7月初接到《关于组织开展2020上海书展暨“书香中国”上海周各区全民阅读活动的通知》，在</w:t>
      </w:r>
      <w:r>
        <w:rPr>
          <w:rFonts w:cs="仿宋" w:asciiTheme="minorEastAsia" w:hAnsiTheme="minorEastAsia"/>
          <w:szCs w:val="21"/>
          <w:lang w:val="zh-TW"/>
        </w:rPr>
        <w:t>中共闵行区委宣传部指导</w:t>
      </w:r>
      <w:r>
        <w:rPr>
          <w:rFonts w:hint="eastAsia" w:cs="仿宋" w:asciiTheme="minorEastAsia" w:hAnsiTheme="minorEastAsia"/>
          <w:szCs w:val="21"/>
          <w:lang w:val="zh-TW"/>
        </w:rPr>
        <w:t>、</w:t>
      </w:r>
      <w:r>
        <w:rPr>
          <w:rFonts w:cs="仿宋" w:asciiTheme="minorEastAsia" w:hAnsiTheme="minorEastAsia"/>
          <w:szCs w:val="21"/>
          <w:lang w:val="zh-TW"/>
        </w:rPr>
        <w:t>闵行区文化和旅游局主办</w:t>
      </w:r>
      <w:r>
        <w:rPr>
          <w:rFonts w:hint="eastAsia" w:cs="仿宋" w:asciiTheme="minorEastAsia" w:hAnsiTheme="minorEastAsia"/>
          <w:szCs w:val="21"/>
          <w:lang w:val="zh-TW"/>
        </w:rPr>
        <w:t>下，我馆第一时间迅速部署，广泛发动区内十四家街镇分馆，最终完成《闵行区全民阅读活动申报表》。</w:t>
      </w:r>
    </w:p>
    <w:p>
      <w:pPr>
        <w:spacing w:line="360" w:lineRule="auto"/>
        <w:ind w:firstLine="420" w:firstLineChars="200"/>
        <w:rPr>
          <w:rFonts w:asciiTheme="minorEastAsia" w:hAnsiTheme="minorEastAsia"/>
          <w:szCs w:val="21"/>
        </w:rPr>
      </w:pPr>
      <w:r>
        <w:rPr>
          <w:rFonts w:hint="eastAsia" w:cs="仿宋" w:asciiTheme="minorEastAsia" w:hAnsiTheme="minorEastAsia"/>
          <w:szCs w:val="21"/>
          <w:lang w:val="zh-TW"/>
        </w:rPr>
        <w:t>8月11日, 闵行区全民阅读活动启动仪</w:t>
      </w:r>
      <w:r>
        <w:rPr>
          <w:rFonts w:hint="eastAsia" w:asciiTheme="minorEastAsia" w:hAnsiTheme="minorEastAsia"/>
          <w:szCs w:val="21"/>
        </w:rPr>
        <w:t>式在仲盛世界商城拉开帷幕，以“闵行阅读地图”主题宣传片为导入，向市民朋友们展示了全区个性化阅读空间、阅读氛围和发展方向，现场为区内两处“闵行文化新空间”授牌、为向全社会进行阅读品味引导和传递阅读价值理念的“阅读推广人”颁证，并抽取了五位观众获得“阅读盲盒”，希望能为更多地人播种下热爱阅读的种子。</w:t>
      </w:r>
    </w:p>
    <w:p>
      <w:pPr>
        <w:spacing w:line="360" w:lineRule="auto"/>
        <w:ind w:firstLine="560"/>
        <w:rPr>
          <w:rFonts w:cs="仿宋" w:asciiTheme="minorEastAsia" w:hAnsiTheme="minorEastAsia"/>
          <w:szCs w:val="21"/>
          <w:lang w:val="zh-TW"/>
        </w:rPr>
      </w:pPr>
      <w:r>
        <w:rPr>
          <w:rFonts w:hint="eastAsia" w:cs="仿宋" w:asciiTheme="minorEastAsia" w:hAnsiTheme="minorEastAsia"/>
          <w:szCs w:val="21"/>
          <w:lang w:val="zh-TW"/>
        </w:rPr>
        <w:t>本次书展期间，</w:t>
      </w:r>
      <w:r>
        <w:rPr>
          <w:rFonts w:hint="eastAsia" w:asciiTheme="minorEastAsia" w:hAnsiTheme="minorEastAsia"/>
          <w:szCs w:val="21"/>
        </w:rPr>
        <w:t>区馆联合各街镇分馆、城市书房等基层服务点，发挥文化阵地优势，不断提升服务能级，以展览展示、文化讲座、新书分享等形式，</w:t>
      </w:r>
      <w:r>
        <w:rPr>
          <w:rFonts w:hint="eastAsia" w:cs="仿宋" w:asciiTheme="minorEastAsia" w:hAnsiTheme="minorEastAsia"/>
          <w:szCs w:val="21"/>
          <w:lang w:val="zh-TW"/>
        </w:rPr>
        <w:t>区级层面举办有</w:t>
      </w:r>
      <w:r>
        <w:rPr>
          <w:rFonts w:hint="eastAsia" w:asciiTheme="minorEastAsia" w:hAnsiTheme="minorEastAsia"/>
          <w:szCs w:val="21"/>
        </w:rPr>
        <w:t>2场主题书展、6场新书分享会、4场读者交流活动，以及40余场街（镇、工业区）阅读活动。全区</w:t>
      </w:r>
      <w:r>
        <w:rPr>
          <w:rFonts w:hint="eastAsia" w:cs="仿宋" w:asciiTheme="minorEastAsia" w:hAnsiTheme="minorEastAsia"/>
          <w:szCs w:val="21"/>
          <w:lang w:val="zh-TW"/>
        </w:rPr>
        <w:t>参与及辐射读者逾万人</w:t>
      </w:r>
      <w:r>
        <w:rPr>
          <w:rFonts w:hint="eastAsia" w:asciiTheme="minorEastAsia" w:hAnsiTheme="minorEastAsia"/>
          <w:szCs w:val="21"/>
        </w:rPr>
        <w:t>。</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4、闵图妈妈小屋活动</w:t>
      </w:r>
    </w:p>
    <w:p>
      <w:pPr>
        <w:spacing w:line="360" w:lineRule="auto"/>
        <w:ind w:firstLine="420" w:firstLineChars="200"/>
        <w:rPr>
          <w:rFonts w:asciiTheme="minorEastAsia" w:hAnsiTheme="minorEastAsia"/>
          <w:szCs w:val="21"/>
        </w:rPr>
      </w:pPr>
      <w:r>
        <w:rPr>
          <w:rFonts w:hint="eastAsia" w:asciiTheme="minorEastAsia" w:hAnsiTheme="minorEastAsia"/>
          <w:szCs w:val="21"/>
        </w:rPr>
        <w:t>由于疫情原因， “闵图妈妈小屋”继而转型制定了2020年的线上阅读系列活动计划。借助新媒体时代优势，融合“抖音”、“微信”、“微博”等多个线上媒体平台，在闭馆期间继续开展线上阅读推广活动，使大小读者通过参与一系列线上互动、分享、推荐，在渐行复苏的城市角落体味线上阅读活动的乐趣。</w:t>
      </w:r>
    </w:p>
    <w:p>
      <w:pPr>
        <w:spacing w:line="360" w:lineRule="auto"/>
        <w:ind w:firstLine="420" w:firstLineChars="200"/>
        <w:rPr>
          <w:rFonts w:asciiTheme="minorEastAsia" w:hAnsiTheme="minorEastAsia"/>
          <w:szCs w:val="21"/>
        </w:rPr>
      </w:pPr>
      <w:r>
        <w:rPr>
          <w:rFonts w:hint="eastAsia" w:asciiTheme="minorEastAsia" w:hAnsiTheme="minorEastAsia"/>
          <w:szCs w:val="21"/>
        </w:rPr>
        <w:t>（1）线上活动。制作、发布闵图抖音荐书少儿视频8部；通过抖音及闵行文化云平台直播开展少儿故事会——“防疫归来、好久不见” 、朗读天使——“老爸的肩膀是我人生的第一眺望台” 与“Five Minutes Peace！”、自然课堂——“种子的旅行”、樊登小读者——“用阅读滋养家庭”等线上活动5次，网上观摩及参与互动人数约9</w:t>
      </w:r>
      <w:r>
        <w:rPr>
          <w:rFonts w:asciiTheme="minorEastAsia" w:hAnsiTheme="minorEastAsia"/>
          <w:szCs w:val="21"/>
        </w:rPr>
        <w:t>000</w:t>
      </w:r>
      <w:r>
        <w:rPr>
          <w:rFonts w:hint="eastAsia" w:asciiTheme="minorEastAsia" w:hAnsiTheme="minorEastAsia"/>
          <w:szCs w:val="21"/>
        </w:rPr>
        <w:t>人次，效果喜人。</w:t>
      </w:r>
    </w:p>
    <w:p>
      <w:pPr>
        <w:spacing w:line="360" w:lineRule="auto"/>
        <w:ind w:firstLine="420" w:firstLineChars="200"/>
        <w:rPr>
          <w:rFonts w:asciiTheme="minorEastAsia" w:hAnsiTheme="minorEastAsia"/>
          <w:szCs w:val="21"/>
        </w:rPr>
      </w:pPr>
      <w:r>
        <w:rPr>
          <w:rFonts w:hint="eastAsia" w:asciiTheme="minorEastAsia" w:hAnsiTheme="minorEastAsia"/>
          <w:szCs w:val="21"/>
        </w:rPr>
        <w:t>（2）线下活动。除了春节前的线下少儿活动外，10月24日闵图妈妈小屋开展首场线下阅读活动——“爷爷奶奶是超人”，活动邀请“朗读天使”志愿团队，携手闵行融媒体“成长俱乐部”、保利城市剧院共同参与，共计37组家庭报名参加，后续通过今日闵行app及电视节目进行报道。</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5、2020年长三角阅读马拉松秋季赛</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阅读马拉松是一场以阅读为主题的持久赛。由于疫情防控需要，今年阅马松比赛，我馆为参赛选手开辟了单独的入馆通道，签到以手工签到和线上签到相结合的方式，经过检查随申码和测量体温方可参加活动。本次比赛共有50位参赛队员参与比赛。按规定， 5名参赛者组成一支队伍，每人在6小时内阅读一本尚未正式出版的书籍并答题，最后按照得分和完赛速度决出个人和团体名次。活动持续近8小时，50位参赛选手中共有48位读者荣获比赛奖牌。 </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6、闵图抖音荐书</w:t>
      </w:r>
    </w:p>
    <w:p>
      <w:pPr>
        <w:spacing w:line="360" w:lineRule="auto"/>
        <w:ind w:firstLine="420" w:firstLineChars="200"/>
        <w:rPr>
          <w:rFonts w:asciiTheme="minorEastAsia" w:hAnsiTheme="minorEastAsia"/>
          <w:szCs w:val="21"/>
        </w:rPr>
      </w:pPr>
      <w:r>
        <w:rPr>
          <w:rFonts w:hint="eastAsia" w:asciiTheme="minorEastAsia" w:hAnsiTheme="minorEastAsia"/>
          <w:szCs w:val="21"/>
        </w:rPr>
        <w:t>为了在疫情期间能更好地为读者服务，本馆于2月2</w:t>
      </w:r>
      <w:r>
        <w:rPr>
          <w:rFonts w:asciiTheme="minorEastAsia" w:hAnsiTheme="minorEastAsia"/>
          <w:szCs w:val="21"/>
        </w:rPr>
        <w:t>6</w:t>
      </w:r>
      <w:r>
        <w:rPr>
          <w:rFonts w:hint="eastAsia" w:asciiTheme="minorEastAsia" w:hAnsiTheme="minorEastAsia"/>
          <w:szCs w:val="21"/>
        </w:rPr>
        <w:t>日申请开通抖音帐号，尝试利用该平台宣传闵图服务、普及传统文化知识、推荐图书等，尤其是“闵图云荐书”受到广大读者欢迎。至今已经发布作品</w:t>
      </w:r>
      <w:r>
        <w:rPr>
          <w:rFonts w:asciiTheme="minorEastAsia" w:hAnsiTheme="minorEastAsia"/>
          <w:szCs w:val="21"/>
        </w:rPr>
        <w:t>89</w:t>
      </w:r>
      <w:r>
        <w:rPr>
          <w:rFonts w:hint="eastAsia" w:asciiTheme="minorEastAsia" w:hAnsiTheme="minorEastAsia"/>
          <w:szCs w:val="21"/>
        </w:rPr>
        <w:t>个，粉丝</w:t>
      </w:r>
      <w:r>
        <w:rPr>
          <w:rFonts w:asciiTheme="minorEastAsia" w:hAnsiTheme="minorEastAsia"/>
          <w:szCs w:val="21"/>
        </w:rPr>
        <w:t>346</w:t>
      </w:r>
      <w:r>
        <w:rPr>
          <w:rFonts w:hint="eastAsia" w:asciiTheme="minorEastAsia" w:hAnsiTheme="minorEastAsia"/>
          <w:szCs w:val="21"/>
        </w:rPr>
        <w:t>个，访问总量</w:t>
      </w:r>
      <w:r>
        <w:rPr>
          <w:rFonts w:asciiTheme="minorEastAsia" w:hAnsiTheme="minorEastAsia"/>
          <w:szCs w:val="21"/>
        </w:rPr>
        <w:t>36586</w:t>
      </w:r>
      <w:r>
        <w:rPr>
          <w:rFonts w:hint="eastAsia" w:asciiTheme="minorEastAsia" w:hAnsiTheme="minorEastAsia"/>
          <w:szCs w:val="21"/>
        </w:rPr>
        <w:t>，收获点赞</w:t>
      </w:r>
      <w:r>
        <w:rPr>
          <w:rFonts w:asciiTheme="minorEastAsia" w:hAnsiTheme="minorEastAsia"/>
          <w:szCs w:val="21"/>
        </w:rPr>
        <w:t>1090</w:t>
      </w:r>
      <w:r>
        <w:rPr>
          <w:rFonts w:hint="eastAsia" w:asciiTheme="minorEastAsia" w:hAnsiTheme="minorEastAsia"/>
          <w:szCs w:val="21"/>
        </w:rPr>
        <w:t>，其中《高考1978》《我心归处是敦煌》《杂草记》《思君令人老，努力加餐饭》等作品获得强国录用。</w:t>
      </w:r>
    </w:p>
    <w:p>
      <w:pPr>
        <w:spacing w:line="360" w:lineRule="auto"/>
        <w:ind w:firstLine="420" w:firstLineChars="200"/>
        <w:rPr>
          <w:rFonts w:asciiTheme="minorEastAsia" w:hAnsiTheme="minorEastAsia"/>
          <w:szCs w:val="21"/>
        </w:rPr>
      </w:pPr>
      <w:r>
        <w:rPr>
          <w:rFonts w:hint="eastAsia" w:asciiTheme="minorEastAsia" w:hAnsiTheme="minorEastAsia"/>
          <w:szCs w:val="21"/>
        </w:rPr>
        <w:t>为了全力打造这张荐书名片，我馆重点做了如下工作：一是成立闵图抖音荐书团队，以少儿、成人及红色三条主线分组，专人负责图书选择、视频剧本策划、录制与审核发布；二是重塑品牌的核心竞争力，重点以专业图书推荐为主，对视频中所需要的片头、片尾，以及品牌标识等进行设计，并规范运用，以品牌化运营；三是每月至少发布2期荐书视频，并辅以网站及微信公众号进行推广宣传。</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三、推进总分馆建设</w:t>
      </w:r>
    </w:p>
    <w:p>
      <w:pPr>
        <w:spacing w:line="360" w:lineRule="auto"/>
        <w:ind w:firstLine="420" w:firstLineChars="200"/>
        <w:rPr>
          <w:rFonts w:asciiTheme="minorEastAsia" w:hAnsiTheme="minorEastAsia"/>
          <w:szCs w:val="21"/>
        </w:rPr>
      </w:pPr>
      <w:r>
        <w:rPr>
          <w:rFonts w:hint="eastAsia" w:asciiTheme="minorEastAsia" w:hAnsiTheme="minorEastAsia"/>
          <w:szCs w:val="21"/>
        </w:rPr>
        <w:t>今年我馆继续推进闵行区图书馆总分馆制建设工作。“城市书柜”项目作为总分馆制建设下的有效补充，以自助式服务方式，提供自助借还、图书查询等功能，把图书馆服务送到市民身边，完善我区“十五分钟阅读圈”建设。</w:t>
      </w:r>
    </w:p>
    <w:p>
      <w:pPr>
        <w:spacing w:line="360" w:lineRule="auto"/>
        <w:ind w:firstLine="420" w:firstLineChars="200"/>
        <w:rPr>
          <w:rFonts w:asciiTheme="minorEastAsia" w:hAnsiTheme="minorEastAsia"/>
          <w:szCs w:val="21"/>
        </w:rPr>
      </w:pPr>
      <w:r>
        <w:rPr>
          <w:rFonts w:hint="eastAsia" w:asciiTheme="minorEastAsia" w:hAnsiTheme="minorEastAsia"/>
          <w:szCs w:val="21"/>
        </w:rPr>
        <w:t>为了做好“城市书柜”项目，我馆多次向区妇联取经，借鉴他们“鲁冰花项目”的成功经验，与合作方积极商讨解决方案。目前前期的准备工作已经就绪，也已选出2</w:t>
      </w:r>
      <w:r>
        <w:rPr>
          <w:rFonts w:asciiTheme="minorEastAsia" w:hAnsiTheme="minorEastAsia"/>
          <w:szCs w:val="21"/>
        </w:rPr>
        <w:t>0</w:t>
      </w:r>
      <w:r>
        <w:rPr>
          <w:rFonts w:hint="eastAsia" w:asciiTheme="minorEastAsia" w:hAnsiTheme="minorEastAsia"/>
          <w:szCs w:val="21"/>
        </w:rPr>
        <w:t>家条件比较成熟的服务点，准备确定选点后，年底前部署到位。并将利用书柜大屏，展示图书馆形象宣传视频、图书推介、微信公众号以及馆藏数字资源推介、资源利用方法介绍等；并计划将文化配送的资源在屏幕上进行展示。</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四、规范职称晋升</w:t>
      </w:r>
    </w:p>
    <w:p>
      <w:pPr>
        <w:spacing w:line="360" w:lineRule="auto"/>
        <w:ind w:firstLine="411" w:firstLineChars="196"/>
        <w:rPr>
          <w:rFonts w:asciiTheme="minorEastAsia" w:hAnsiTheme="minorEastAsia"/>
          <w:szCs w:val="21"/>
        </w:rPr>
      </w:pPr>
      <w:r>
        <w:rPr>
          <w:rFonts w:hint="eastAsia" w:asciiTheme="minorEastAsia" w:hAnsiTheme="minorEastAsia"/>
          <w:szCs w:val="21"/>
        </w:rPr>
        <w:t>随着事业单位改革完成以及新的专业资格评审管理办法出台后，我馆目前面临中级以上员工职称晋升的问题，即</w:t>
      </w:r>
      <w:r>
        <w:rPr>
          <w:rFonts w:asciiTheme="minorEastAsia" w:hAnsiTheme="minorEastAsia"/>
          <w:szCs w:val="21"/>
        </w:rPr>
        <w:t>9</w:t>
      </w:r>
      <w:r>
        <w:rPr>
          <w:rFonts w:hint="eastAsia" w:asciiTheme="minorEastAsia" w:hAnsiTheme="minorEastAsia"/>
          <w:szCs w:val="21"/>
        </w:rPr>
        <w:t>级以上岗位设置有限，而目前1</w:t>
      </w:r>
      <w:r>
        <w:rPr>
          <w:rFonts w:asciiTheme="minorEastAsia" w:hAnsiTheme="minorEastAsia"/>
          <w:szCs w:val="21"/>
        </w:rPr>
        <w:t>0</w:t>
      </w:r>
      <w:r>
        <w:rPr>
          <w:rFonts w:hint="eastAsia" w:asciiTheme="minorEastAsia" w:hAnsiTheme="minorEastAsia"/>
          <w:szCs w:val="21"/>
        </w:rPr>
        <w:t>级-</w:t>
      </w:r>
      <w:r>
        <w:rPr>
          <w:rFonts w:asciiTheme="minorEastAsia" w:hAnsiTheme="minorEastAsia"/>
          <w:szCs w:val="21"/>
        </w:rPr>
        <w:t>8</w:t>
      </w:r>
      <w:r>
        <w:rPr>
          <w:rFonts w:hint="eastAsia" w:asciiTheme="minorEastAsia" w:hAnsiTheme="minorEastAsia"/>
          <w:szCs w:val="21"/>
        </w:rPr>
        <w:t>线岗位基本满编，只有7级的岗位目前空编，按规定3年晋升一级，则势必有一部分人无法按规定晋升。针对此问题，我馆曾多次召开专题会议，商议出台相关“员工职称晋升管理办法”，同时成立“职称晋升聘任小组”，以合理、科学地规范该工作，为更好地凝聚专业团队力量，强化队伍建设，打下良好的基础。</w:t>
      </w:r>
    </w:p>
    <w:p>
      <w:pPr>
        <w:spacing w:line="360" w:lineRule="auto"/>
        <w:ind w:firstLine="315" w:firstLineChars="150"/>
        <w:rPr>
          <w:rFonts w:ascii="微软雅黑" w:hAnsi="微软雅黑" w:eastAsia="微软雅黑"/>
          <w:b/>
          <w:szCs w:val="21"/>
        </w:rPr>
      </w:pPr>
      <w:r>
        <w:rPr>
          <w:rFonts w:hint="eastAsia" w:ascii="微软雅黑" w:hAnsi="微软雅黑" w:eastAsia="微软雅黑"/>
          <w:b/>
          <w:szCs w:val="21"/>
        </w:rPr>
        <w:t>五、疫情防控工作</w:t>
      </w:r>
    </w:p>
    <w:p>
      <w:pPr>
        <w:spacing w:line="360" w:lineRule="auto"/>
        <w:ind w:firstLine="480"/>
        <w:rPr>
          <w:rFonts w:asciiTheme="minorEastAsia" w:hAnsiTheme="minorEastAsia"/>
          <w:szCs w:val="21"/>
        </w:rPr>
      </w:pPr>
      <w:r>
        <w:rPr>
          <w:rFonts w:asciiTheme="minorEastAsia" w:hAnsiTheme="minorEastAsia"/>
          <w:szCs w:val="21"/>
        </w:rPr>
        <w:t>1</w:t>
      </w:r>
      <w:r>
        <w:rPr>
          <w:rFonts w:hint="eastAsia" w:asciiTheme="minorEastAsia" w:hAnsiTheme="minorEastAsia"/>
          <w:szCs w:val="21"/>
        </w:rPr>
        <w:t>、高度重视，做好疫情防控全员参与。及时采购发放防疫物资，为员工参与社区联防联控工作保驾护航；及时将上级会议精神及工作要点传达到每一个员工，使得上下齐心，众志成城。</w:t>
      </w:r>
    </w:p>
    <w:p>
      <w:pPr>
        <w:spacing w:line="360" w:lineRule="auto"/>
        <w:ind w:firstLine="480"/>
        <w:rPr>
          <w:rFonts w:asciiTheme="minorEastAsia" w:hAnsiTheme="minorEastAsia"/>
          <w:szCs w:val="21"/>
        </w:rPr>
      </w:pPr>
      <w:r>
        <w:rPr>
          <w:rFonts w:hint="eastAsia" w:asciiTheme="minorEastAsia" w:hAnsiTheme="minorEastAsia"/>
          <w:szCs w:val="21"/>
        </w:rPr>
        <w:t>2、精心组织，做好社区防控精准精细。领导带头，分组分批，明确责任，对接吴泾三个社区疫情联控任务，要求每一位员工热情、细致、耐心，充分展现展示图书馆员的服务精神与人文价值，为社区疫情防控尽图书馆人的最大努力。本馆职工参与社区防控与吴泾联防联控任务总计5</w:t>
      </w:r>
      <w:r>
        <w:rPr>
          <w:rFonts w:asciiTheme="minorEastAsia" w:hAnsiTheme="minorEastAsia"/>
          <w:szCs w:val="21"/>
        </w:rPr>
        <w:t>12</w:t>
      </w:r>
      <w:r>
        <w:rPr>
          <w:rFonts w:hint="eastAsia" w:asciiTheme="minorEastAsia" w:hAnsiTheme="minorEastAsia"/>
          <w:szCs w:val="21"/>
        </w:rPr>
        <w:t>人次。</w:t>
      </w:r>
    </w:p>
    <w:p>
      <w:pPr>
        <w:spacing w:line="360" w:lineRule="auto"/>
        <w:ind w:firstLine="480"/>
        <w:rPr>
          <w:rFonts w:asciiTheme="minorEastAsia" w:hAnsiTheme="minorEastAsia"/>
          <w:szCs w:val="21"/>
        </w:rPr>
      </w:pPr>
      <w:r>
        <w:rPr>
          <w:rFonts w:hint="eastAsia" w:asciiTheme="minorEastAsia" w:hAnsiTheme="minorEastAsia"/>
          <w:szCs w:val="21"/>
        </w:rPr>
        <w:t>3、体现责任担当，组织职工参与全区重点防控区域志愿服务。我馆青年馆员先后参与虹桥火车站、机场疫情防控2批3人次。</w:t>
      </w:r>
    </w:p>
    <w:p>
      <w:pPr>
        <w:spacing w:line="360" w:lineRule="auto"/>
        <w:ind w:firstLine="480"/>
        <w:rPr>
          <w:rFonts w:asciiTheme="minorEastAsia" w:hAnsiTheme="minorEastAsia"/>
          <w:szCs w:val="21"/>
        </w:rPr>
      </w:pPr>
      <w:r>
        <w:rPr>
          <w:rFonts w:hint="eastAsia" w:asciiTheme="minorEastAsia" w:hAnsiTheme="minorEastAsia"/>
          <w:szCs w:val="21"/>
        </w:rPr>
        <w:t>4、同行手拉手，为武汉图书馆捐赠抗疫防护物资。我馆积极响应市图书馆行业协会倡议，购置价值</w:t>
      </w:r>
      <w:r>
        <w:rPr>
          <w:rFonts w:asciiTheme="minorEastAsia" w:hAnsiTheme="minorEastAsia"/>
          <w:szCs w:val="21"/>
        </w:rPr>
        <w:t>4460</w:t>
      </w:r>
      <w:r>
        <w:rPr>
          <w:rFonts w:hint="eastAsia" w:asciiTheme="minorEastAsia" w:hAnsiTheme="minorEastAsia"/>
          <w:szCs w:val="21"/>
        </w:rPr>
        <w:t>元的防护眼镜、手套、消毒用品等，无偿捐赠给武汉，为武汉人民献一份爱心。</w:t>
      </w:r>
    </w:p>
    <w:p>
      <w:pPr>
        <w:spacing w:line="360" w:lineRule="auto"/>
        <w:ind w:firstLine="480"/>
        <w:rPr>
          <w:rFonts w:asciiTheme="minorEastAsia" w:hAnsiTheme="minorEastAsia"/>
          <w:szCs w:val="21"/>
        </w:rPr>
      </w:pPr>
      <w:r>
        <w:rPr>
          <w:rFonts w:hint="eastAsia" w:asciiTheme="minorEastAsia" w:hAnsiTheme="minorEastAsia"/>
          <w:szCs w:val="21"/>
        </w:rPr>
        <w:t>5、以读者为中心，全面细致地做好常态化疫情防控工作。及时购置红外测温门、紫外线图书消毒灯及消毒柜等，安装到位；及时与物业、保安协调，共同制订图书馆针对新冠疫情的防控与应急方案，对具体工作细节进行演练与精心组织，保证每一个环节的人员到位、措施到位，保证读者来馆安全。及时地根据上级政策规定，对每日预约开放人数进行调整，尽可能地为更多读者提供图书馆服务。</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六、创全与文明创建工作</w:t>
      </w:r>
    </w:p>
    <w:p>
      <w:pPr>
        <w:spacing w:line="360" w:lineRule="auto"/>
        <w:rPr>
          <w:rFonts w:asciiTheme="minorEastAsia" w:hAnsiTheme="minorEastAsia"/>
          <w:szCs w:val="21"/>
        </w:rPr>
      </w:pPr>
      <w:r>
        <w:rPr>
          <w:rFonts w:hint="eastAsia" w:asciiTheme="minorEastAsia" w:hAnsiTheme="minorEastAsia"/>
          <w:szCs w:val="21"/>
        </w:rPr>
        <w:t xml:space="preserve"> </w:t>
      </w:r>
      <w:r>
        <w:rPr>
          <w:rFonts w:asciiTheme="minorEastAsia" w:hAnsiTheme="minorEastAsia"/>
          <w:szCs w:val="21"/>
        </w:rPr>
        <w:t xml:space="preserve">   2020</w:t>
      </w:r>
      <w:r>
        <w:rPr>
          <w:rFonts w:hint="eastAsia" w:asciiTheme="minorEastAsia" w:hAnsiTheme="minorEastAsia"/>
          <w:szCs w:val="21"/>
        </w:rPr>
        <w:t>年既是闵行区创建全国文明城区冲刺年，也是我馆2</w:t>
      </w:r>
      <w:r>
        <w:rPr>
          <w:rFonts w:asciiTheme="minorEastAsia" w:hAnsiTheme="minorEastAsia"/>
          <w:szCs w:val="21"/>
        </w:rPr>
        <w:t>019-2020</w:t>
      </w:r>
      <w:r>
        <w:rPr>
          <w:rFonts w:hint="eastAsia" w:asciiTheme="minorEastAsia" w:hAnsiTheme="minorEastAsia"/>
          <w:szCs w:val="21"/>
        </w:rPr>
        <w:t>年度文明单位申报年，我馆上下一心，众志成城，双管齐下，齐抓共管，志在必得。在创全方面，一是本馆创全创建领导小组及时将上级会议精神及工作要求及时传达到每一位职工，做到人人知晓，第一时间将工作落实到位；细致地检查每一个环节的工作，及时查缺补漏，发动全馆之力，做到人人参与，保证无死角、无疏漏；三是在迎接上级检查的重要节点，部署安排人员值班值守，保证良好的迎检状态。在文明创建方面，本馆按照文明单位考核标准以及本馆文明创建计划，认真落实相关工作。年底成立了创建材料整理小组，对照指标要求对文明创建台帐等资料进行认真、细致梳理、归档。并根据网上申报要求，及时将材料上传，等待审核。</w:t>
      </w:r>
    </w:p>
    <w:p>
      <w:pPr>
        <w:spacing w:line="360" w:lineRule="auto"/>
        <w:jc w:val="left"/>
        <w:rPr>
          <w:rFonts w:asciiTheme="minorEastAsia" w:hAnsiTheme="minorEastAsia"/>
          <w:b/>
          <w:szCs w:val="21"/>
        </w:rPr>
      </w:pPr>
    </w:p>
    <w:p>
      <w:pPr>
        <w:spacing w:line="360" w:lineRule="auto"/>
        <w:jc w:val="left"/>
        <w:rPr>
          <w:rFonts w:asciiTheme="minorEastAsia" w:hAnsiTheme="minorEastAsia"/>
          <w:b/>
          <w:szCs w:val="21"/>
        </w:rPr>
      </w:pPr>
    </w:p>
    <w:p>
      <w:pPr>
        <w:spacing w:line="360" w:lineRule="auto"/>
        <w:jc w:val="left"/>
        <w:rPr>
          <w:rFonts w:asciiTheme="minorEastAsia" w:hAnsiTheme="minorEastAsia"/>
          <w:b/>
          <w:szCs w:val="21"/>
        </w:rPr>
      </w:pPr>
    </w:p>
    <w:p>
      <w:pPr>
        <w:spacing w:line="360" w:lineRule="auto"/>
        <w:jc w:val="left"/>
        <w:rPr>
          <w:rFonts w:asciiTheme="minorEastAsia" w:hAnsiTheme="minorEastAsia"/>
          <w:b/>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三、大事记</w:t>
      </w:r>
    </w:p>
    <w:p>
      <w:pPr>
        <w:spacing w:line="360" w:lineRule="auto"/>
        <w:jc w:val="left"/>
        <w:rPr>
          <w:rFonts w:asciiTheme="minorEastAsia" w:hAnsiTheme="minorEastAsia"/>
          <w:szCs w:val="21"/>
        </w:rPr>
      </w:pPr>
      <w:r>
        <w:rPr>
          <w:rFonts w:hint="eastAsia" w:asciiTheme="minorEastAsia" w:hAnsiTheme="minorEastAsia"/>
          <w:szCs w:val="21"/>
        </w:rPr>
        <w:t>2020年1月9日,上海市图书馆行业协会组织相关专家、领导莅临我区对图书馆总分馆制建设工作进行验收指导。验收专家组表示闵行区的总分馆制建设工作基础扎实、推进稳步、运行有序，各层级在自身发展规划基础上，能够上下贯通合力建设，尤其是区总馆与街道分馆的对接和分工明确、配合度高，在区总馆的统一指导下，各街镇分馆在参与总馆活动、调动基层服务点等方面发挥了积极作用。</w:t>
      </w:r>
    </w:p>
    <w:p>
      <w:pPr>
        <w:spacing w:line="360" w:lineRule="auto"/>
        <w:jc w:val="left"/>
        <w:rPr>
          <w:rFonts w:asciiTheme="minorEastAsia" w:hAnsiTheme="minorEastAsia"/>
          <w:szCs w:val="21"/>
        </w:rPr>
      </w:pPr>
      <w:r>
        <w:rPr>
          <w:rFonts w:hint="eastAsia" w:asciiTheme="minorEastAsia" w:hAnsiTheme="minorEastAsia"/>
          <w:szCs w:val="21"/>
        </w:rPr>
        <w:t>2020年1月18日,敏读会举办了第195期讲座，主题为“印章源流与鉴赏”，主讲人是周建国，著名篆刻家，西泠印社社员，中国书法家协会会员，上海市书法家协会会员。出版有《柬谷印痕》《当代名家印谱•周建国卷》《王福厂印学年表》《江成之印学年表》等作品。讲座主要介绍了中国的印章起源和明清众多的篆刻艺术流派，从篆刻艺术的载体所引申出来的中国古代印章镌刻技艺。共有60位读者参与了活动。</w:t>
      </w:r>
    </w:p>
    <w:p>
      <w:pPr>
        <w:spacing w:line="360" w:lineRule="auto"/>
        <w:jc w:val="left"/>
        <w:rPr>
          <w:rFonts w:asciiTheme="minorEastAsia" w:hAnsiTheme="minorEastAsia"/>
          <w:szCs w:val="21"/>
        </w:rPr>
      </w:pPr>
      <w:r>
        <w:rPr>
          <w:rFonts w:hint="eastAsia" w:asciiTheme="minorEastAsia" w:hAnsiTheme="minorEastAsia"/>
          <w:szCs w:val="21"/>
        </w:rPr>
        <w:t>2020年1月23日,为做好新型冠状病毒感染的肺炎预防控制工作，本馆（含城市书房闵图馆）开始暂停开放。闭馆期间图书逾期费等不做计算，但线上服务不停摆。</w:t>
      </w:r>
    </w:p>
    <w:p>
      <w:pPr>
        <w:spacing w:line="360" w:lineRule="auto"/>
        <w:jc w:val="left"/>
        <w:rPr>
          <w:rFonts w:asciiTheme="minorEastAsia" w:hAnsiTheme="minorEastAsia"/>
          <w:szCs w:val="21"/>
        </w:rPr>
      </w:pPr>
      <w:r>
        <w:rPr>
          <w:rFonts w:hint="eastAsia" w:asciiTheme="minorEastAsia" w:hAnsiTheme="minorEastAsia"/>
          <w:szCs w:val="21"/>
        </w:rPr>
        <w:t>2020年2月10日起,图书馆作为闵行区机关事业单位的一部分，在区委、区政府的领导下，积极投身到社区防控第一线，以组团支援的形式，协助吴泾小区、氯碱小区、双柏小区及新华小区居委进行返沪人员登记、核查通行证以及小区进出入人员体温测量。</w:t>
      </w:r>
    </w:p>
    <w:p>
      <w:pPr>
        <w:spacing w:line="360" w:lineRule="auto"/>
        <w:jc w:val="left"/>
        <w:rPr>
          <w:rFonts w:asciiTheme="minorEastAsia" w:hAnsiTheme="minorEastAsia"/>
          <w:szCs w:val="21"/>
        </w:rPr>
      </w:pPr>
      <w:r>
        <w:rPr>
          <w:rFonts w:hint="eastAsia" w:asciiTheme="minorEastAsia" w:hAnsiTheme="minorEastAsia"/>
          <w:szCs w:val="21"/>
        </w:rPr>
        <w:t>2020年2月25日,闵行区图书馆抖音号（minhanglibrary）正式上线，由此开启“闵图抖音云荐书”线上阅读推广项目。截止到12月，抖音平台共发布作品122个，获赞数1890，作品《1978，我们的高考》《我心归处是敦煌》《思君令人老，努力加餐饭》《杂草记》《端午》《百年沪闵路》《上海闵行红色地图》《去北极，在冰川消失前》《数学的故事》《开罗埃及博物馆》《咕咚来了》《DK蘑菇大百科》被选入“学习强国”。欢迎关注闵行区图书馆抖音号！</w:t>
      </w:r>
    </w:p>
    <w:p>
      <w:pPr>
        <w:spacing w:line="360" w:lineRule="auto"/>
        <w:jc w:val="left"/>
        <w:rPr>
          <w:rFonts w:asciiTheme="minorEastAsia" w:hAnsiTheme="minorEastAsia"/>
          <w:szCs w:val="21"/>
        </w:rPr>
      </w:pPr>
      <w:r>
        <w:rPr>
          <w:rFonts w:hint="eastAsia" w:asciiTheme="minorEastAsia" w:hAnsiTheme="minorEastAsia"/>
          <w:szCs w:val="21"/>
        </w:rPr>
        <w:t>2020年3月5日,2020“我的战疫”阅读马拉松线上快闪赛晚上7点准时开启。本次线上快闪赛聚焦新冠疫情，提倡通过阅读科学对待疫情。</w:t>
      </w:r>
    </w:p>
    <w:p>
      <w:pPr>
        <w:spacing w:line="360" w:lineRule="auto"/>
        <w:jc w:val="left"/>
        <w:rPr>
          <w:rFonts w:asciiTheme="minorEastAsia" w:hAnsiTheme="minorEastAsia"/>
          <w:szCs w:val="21"/>
        </w:rPr>
      </w:pPr>
      <w:r>
        <w:rPr>
          <w:rFonts w:hint="eastAsia" w:asciiTheme="minorEastAsia" w:hAnsiTheme="minorEastAsia"/>
          <w:szCs w:val="21"/>
        </w:rPr>
        <w:t>2020年3月13日,闵行区图书馆恢复还书服务，每日预约名额为200人。</w:t>
      </w:r>
    </w:p>
    <w:p>
      <w:pPr>
        <w:spacing w:line="360" w:lineRule="auto"/>
        <w:jc w:val="left"/>
        <w:rPr>
          <w:rFonts w:asciiTheme="minorEastAsia" w:hAnsiTheme="minorEastAsia"/>
          <w:szCs w:val="21"/>
        </w:rPr>
      </w:pPr>
      <w:r>
        <w:rPr>
          <w:rFonts w:hint="eastAsia" w:asciiTheme="minorEastAsia" w:hAnsiTheme="minorEastAsia"/>
          <w:szCs w:val="21"/>
        </w:rPr>
        <w:t>2020年3月16日,社区联防工作地点从吴泾转移到康城。每周由领导统筹安排社区执勤名单，由后勤保障部统一发放医用防控物资，确保支援联防工作顺利进行。期间，本馆金苇青、翁章捷两名同志前往虹桥高铁站，参与联防联控工作。</w:t>
      </w:r>
    </w:p>
    <w:p>
      <w:pPr>
        <w:spacing w:line="360" w:lineRule="auto"/>
        <w:jc w:val="left"/>
        <w:rPr>
          <w:rFonts w:asciiTheme="minorEastAsia" w:hAnsiTheme="minorEastAsia"/>
          <w:szCs w:val="21"/>
        </w:rPr>
      </w:pPr>
      <w:r>
        <w:rPr>
          <w:rFonts w:hint="eastAsia" w:asciiTheme="minorEastAsia" w:hAnsiTheme="minorEastAsia"/>
          <w:szCs w:val="21"/>
        </w:rPr>
        <w:t>2020年3月23日,本馆王磊同志随闵行区文旅局其他人员前往虹桥机场，作为志愿者进行为期10天左右的防控服务引导工作。</w:t>
      </w:r>
    </w:p>
    <w:p>
      <w:pPr>
        <w:spacing w:line="360" w:lineRule="auto"/>
        <w:jc w:val="left"/>
        <w:rPr>
          <w:rFonts w:asciiTheme="minorEastAsia" w:hAnsiTheme="minorEastAsia"/>
          <w:szCs w:val="21"/>
        </w:rPr>
      </w:pPr>
      <w:r>
        <w:rPr>
          <w:rFonts w:hint="eastAsia" w:asciiTheme="minorEastAsia" w:hAnsiTheme="minorEastAsia"/>
          <w:szCs w:val="21"/>
        </w:rPr>
        <w:t>2020年3月24日,闵行区图书馆恢复成人图书外借服务。</w:t>
      </w:r>
    </w:p>
    <w:p>
      <w:pPr>
        <w:spacing w:line="360" w:lineRule="auto"/>
        <w:jc w:val="left"/>
        <w:rPr>
          <w:rFonts w:asciiTheme="minorEastAsia" w:hAnsiTheme="minorEastAsia"/>
          <w:szCs w:val="21"/>
        </w:rPr>
      </w:pPr>
      <w:r>
        <w:rPr>
          <w:rFonts w:hint="eastAsia" w:asciiTheme="minorEastAsia" w:hAnsiTheme="minorEastAsia"/>
          <w:szCs w:val="21"/>
        </w:rPr>
        <w:t>2020年4月15日,闵行区图书馆恢复办证、退证服务。</w:t>
      </w:r>
    </w:p>
    <w:p>
      <w:pPr>
        <w:spacing w:line="360" w:lineRule="auto"/>
        <w:jc w:val="left"/>
        <w:rPr>
          <w:rFonts w:asciiTheme="minorEastAsia" w:hAnsiTheme="minorEastAsia"/>
          <w:szCs w:val="21"/>
        </w:rPr>
      </w:pPr>
      <w:r>
        <w:rPr>
          <w:rFonts w:hint="eastAsia" w:asciiTheme="minorEastAsia" w:hAnsiTheme="minorEastAsia"/>
          <w:szCs w:val="21"/>
        </w:rPr>
        <w:t>2020年4月23日,在第25个“世界读书日”与“战疫”特殊时期之际，闵行区图书馆文化服务不打烊，特开展了“探寻传统文化 品味经典书韵”线上竞答活动。本次活动持续开展三天，每天3场竞答，吸引了区内逾千名青少年及成人读者的积极参与，总计开启逾三千场次竞答。</w:t>
      </w:r>
    </w:p>
    <w:p>
      <w:pPr>
        <w:spacing w:line="360" w:lineRule="auto"/>
        <w:jc w:val="left"/>
        <w:rPr>
          <w:rFonts w:asciiTheme="minorEastAsia" w:hAnsiTheme="minorEastAsia"/>
          <w:szCs w:val="21"/>
        </w:rPr>
      </w:pPr>
      <w:r>
        <w:rPr>
          <w:rFonts w:hint="eastAsia" w:asciiTheme="minorEastAsia" w:hAnsiTheme="minorEastAsia"/>
          <w:szCs w:val="21"/>
        </w:rPr>
        <w:t>2020年5月,闵行区图书馆课题项目之“闵行历代稀见文献丛刊”出版新书《闵行诗存》（外一种）。此课题启动至今，已出版《李氏易园三代清芬集》，约五十五万字，2017年5月由浙江大学出版社出版；《董传策集》，约五十万字，2018年11月由浙江大学出版社出版；新书《闵行诗存》（外一种），约三十万字，由中华书局出版。</w:t>
      </w:r>
    </w:p>
    <w:p>
      <w:pPr>
        <w:spacing w:line="360" w:lineRule="auto"/>
        <w:jc w:val="left"/>
        <w:rPr>
          <w:rFonts w:asciiTheme="minorEastAsia" w:hAnsiTheme="minorEastAsia"/>
          <w:szCs w:val="21"/>
        </w:rPr>
      </w:pPr>
      <w:r>
        <w:rPr>
          <w:rFonts w:hint="eastAsia" w:asciiTheme="minorEastAsia" w:hAnsiTheme="minorEastAsia"/>
          <w:szCs w:val="21"/>
        </w:rPr>
        <w:t>2020年5月,本馆向武汉图书馆捐赠防疫物资∶防护眼镜50副，检查手套30盒（100 只/盒），消毒片 20瓶（50片/瓶）</w:t>
      </w:r>
    </w:p>
    <w:p>
      <w:pPr>
        <w:spacing w:line="360" w:lineRule="auto"/>
        <w:jc w:val="left"/>
        <w:rPr>
          <w:rFonts w:asciiTheme="minorEastAsia" w:hAnsiTheme="minorEastAsia"/>
          <w:szCs w:val="21"/>
        </w:rPr>
      </w:pPr>
      <w:r>
        <w:rPr>
          <w:rFonts w:hint="eastAsia" w:asciiTheme="minorEastAsia" w:hAnsiTheme="minorEastAsia"/>
          <w:szCs w:val="21"/>
        </w:rPr>
        <w:t>2020年5月22日,在前期借还书服务、开放读者办、退证的基础上，本馆进一步有序开放阅览服务。每日预约名额增加至400人。</w:t>
      </w:r>
    </w:p>
    <w:p>
      <w:pPr>
        <w:spacing w:line="360" w:lineRule="auto"/>
        <w:jc w:val="left"/>
        <w:rPr>
          <w:rFonts w:asciiTheme="minorEastAsia" w:hAnsiTheme="minorEastAsia"/>
          <w:szCs w:val="21"/>
        </w:rPr>
      </w:pPr>
      <w:r>
        <w:rPr>
          <w:rFonts w:hint="eastAsia" w:asciiTheme="minorEastAsia" w:hAnsiTheme="minorEastAsia"/>
          <w:szCs w:val="21"/>
        </w:rPr>
        <w:t>2020年5月31日至6月23日,闵行区图书馆开展了“快乐六一·编程粽动员”少儿编程线上竞赛活动。本次活动吸引了区内逾300名小读者的积极参与，点击阅读量破6000次、参与观看直播课程逾2000人次。</w:t>
      </w:r>
    </w:p>
    <w:p>
      <w:pPr>
        <w:spacing w:line="360" w:lineRule="auto"/>
        <w:jc w:val="left"/>
        <w:rPr>
          <w:rFonts w:asciiTheme="minorEastAsia" w:hAnsiTheme="minorEastAsia"/>
          <w:szCs w:val="21"/>
        </w:rPr>
      </w:pPr>
      <w:r>
        <w:rPr>
          <w:rFonts w:hint="eastAsia" w:asciiTheme="minorEastAsia" w:hAnsiTheme="minorEastAsia"/>
          <w:szCs w:val="21"/>
        </w:rPr>
        <w:t>2020年5月31日,闵图妈妈小屋活动首次通过抖音及文化云直播方式与小读者见面。由阅读越精彩志愿团队带来“防疫归来，好久不见”主题故事会，分享了三个与疫情相关的绘本故事。活动直播时间30分钟，活动观看数量达3000人。后续又分别开展抖音直播活动：7月26日自然课堂——“种子的旅行”、8月18日朗读天使——“Five Minutes Peace！”、8月23日樊登小读者——“用阅读滋养家庭”，共计5次，平均观摩300人次。</w:t>
      </w:r>
    </w:p>
    <w:p>
      <w:pPr>
        <w:spacing w:line="360" w:lineRule="auto"/>
        <w:jc w:val="left"/>
        <w:rPr>
          <w:rFonts w:asciiTheme="minorEastAsia" w:hAnsiTheme="minorEastAsia"/>
          <w:szCs w:val="21"/>
        </w:rPr>
      </w:pPr>
      <w:r>
        <w:rPr>
          <w:rFonts w:hint="eastAsia" w:asciiTheme="minorEastAsia" w:hAnsiTheme="minorEastAsia"/>
          <w:szCs w:val="21"/>
        </w:rPr>
        <w:t>2020年6月12日,闵行区图书馆有序恢复少儿图书借阅服务，少儿预约名额为40人。</w:t>
      </w:r>
    </w:p>
    <w:p>
      <w:pPr>
        <w:spacing w:line="360" w:lineRule="auto"/>
        <w:jc w:val="left"/>
        <w:rPr>
          <w:rFonts w:asciiTheme="minorEastAsia" w:hAnsiTheme="minorEastAsia"/>
          <w:szCs w:val="21"/>
        </w:rPr>
      </w:pPr>
      <w:r>
        <w:rPr>
          <w:rFonts w:hint="eastAsia" w:asciiTheme="minorEastAsia" w:hAnsiTheme="minorEastAsia"/>
          <w:szCs w:val="21"/>
        </w:rPr>
        <w:t>2020年6月20日,闵图妈妈小屋携手朗读天使志愿团队通过融媒体今日闵行App，在线直播父亲节特别活动“老爸的肩膀是我人生的第一眺望台”。活动在线收看人数达5000余人次。</w:t>
      </w:r>
    </w:p>
    <w:p>
      <w:pPr>
        <w:spacing w:line="360" w:lineRule="auto"/>
        <w:jc w:val="left"/>
        <w:rPr>
          <w:rFonts w:asciiTheme="minorEastAsia" w:hAnsiTheme="minorEastAsia"/>
          <w:szCs w:val="21"/>
        </w:rPr>
      </w:pPr>
      <w:r>
        <w:rPr>
          <w:rFonts w:hint="eastAsia" w:asciiTheme="minorEastAsia" w:hAnsiTheme="minorEastAsia"/>
          <w:szCs w:val="21"/>
        </w:rPr>
        <w:t>2020年7月至10月,闵行区图书馆积极开展文化配送进街镇工作。通过将公共文化资源配送纳入闵行区图书馆总分馆制建设，依托区级资源平台，按需点单、精准对接、逐层配送，这是我馆推进服务能效升级、激发分馆活力提升市民参与度的一大举措。今年全区将开展逾50场文化配送活动，类型涵盖了艺术导赏、展览展示以及亲子互动、艺术教学、手工体验等特色活动。区总馆、14家街（镇、工业区）分馆以及19家村居图书室、邻里中心、城市书房等基层服务点实现全覆盖，进一步促进和培育全区良好的全民阅读氛围。</w:t>
      </w:r>
    </w:p>
    <w:p>
      <w:pPr>
        <w:spacing w:line="360" w:lineRule="auto"/>
        <w:jc w:val="left"/>
        <w:rPr>
          <w:rFonts w:asciiTheme="minorEastAsia" w:hAnsiTheme="minorEastAsia"/>
          <w:szCs w:val="21"/>
        </w:rPr>
      </w:pPr>
      <w:r>
        <w:rPr>
          <w:rFonts w:hint="eastAsia" w:asciiTheme="minorEastAsia" w:hAnsiTheme="minorEastAsia"/>
          <w:szCs w:val="21"/>
        </w:rPr>
        <w:t>2020年7月30日,少儿室预约名额增加至200人，每日预约总额增加至700人。</w:t>
      </w:r>
    </w:p>
    <w:p>
      <w:pPr>
        <w:spacing w:line="360" w:lineRule="auto"/>
        <w:jc w:val="left"/>
        <w:rPr>
          <w:rFonts w:asciiTheme="minorEastAsia" w:hAnsiTheme="minorEastAsia"/>
          <w:szCs w:val="21"/>
        </w:rPr>
      </w:pPr>
      <w:r>
        <w:rPr>
          <w:rFonts w:hint="eastAsia" w:asciiTheme="minorEastAsia" w:hAnsiTheme="minorEastAsia"/>
          <w:szCs w:val="21"/>
        </w:rPr>
        <w:t>2020年8月11日,闵行区全民阅读活动启动仪式在仲盛世界商城拉开帷幕。今年，通过联合仲盛世界商城、大隐书局等社会力量，区级层面举办了2场主题书展、6场新书分享会、4场读者交流活动；街镇级层面举办了40余场阅读活动，共同营造全区阅读浪潮。本届书展中，闵行区图书馆荣获了上海市新闻出版局颁发的“2020上海书展暨‘书香中国’上海周——优秀上海分会场”。</w:t>
      </w:r>
    </w:p>
    <w:p>
      <w:pPr>
        <w:spacing w:line="360" w:lineRule="auto"/>
        <w:jc w:val="left"/>
        <w:rPr>
          <w:rFonts w:asciiTheme="minorEastAsia" w:hAnsiTheme="minorEastAsia"/>
          <w:szCs w:val="21"/>
        </w:rPr>
      </w:pPr>
      <w:r>
        <w:rPr>
          <w:rFonts w:hint="eastAsia" w:asciiTheme="minorEastAsia" w:hAnsiTheme="minorEastAsia"/>
          <w:szCs w:val="21"/>
        </w:rPr>
        <w:t>2020年9月8日起,闵行区图书馆对14周岁以下少儿读者恢复开放。</w:t>
      </w:r>
    </w:p>
    <w:p>
      <w:pPr>
        <w:spacing w:line="360" w:lineRule="auto"/>
        <w:jc w:val="left"/>
        <w:rPr>
          <w:rFonts w:asciiTheme="minorEastAsia" w:hAnsiTheme="minorEastAsia"/>
          <w:szCs w:val="21"/>
        </w:rPr>
      </w:pPr>
      <w:r>
        <w:rPr>
          <w:rFonts w:hint="eastAsia" w:asciiTheme="minorEastAsia" w:hAnsiTheme="minorEastAsia"/>
          <w:szCs w:val="21"/>
        </w:rPr>
        <w:t>2020年9月10日,本馆借还处、报刊阅览室和成人借阅室恢复至20：00闭馆。</w:t>
      </w:r>
    </w:p>
    <w:p>
      <w:pPr>
        <w:spacing w:line="360" w:lineRule="auto"/>
        <w:jc w:val="left"/>
        <w:rPr>
          <w:rFonts w:asciiTheme="minorEastAsia" w:hAnsiTheme="minorEastAsia"/>
          <w:szCs w:val="21"/>
        </w:rPr>
      </w:pPr>
      <w:r>
        <w:rPr>
          <w:rFonts w:hint="eastAsia" w:asciiTheme="minorEastAsia" w:hAnsiTheme="minorEastAsia"/>
          <w:szCs w:val="21"/>
        </w:rPr>
        <w:t>2020年9月12日,2020年长三角阅读马拉松秋季赛在闵行区图书馆七楼2722报告厅火热开启。50位参赛选手中，共有48位读者通过奖牌线，拿到了奖牌。</w:t>
      </w:r>
    </w:p>
    <w:p>
      <w:pPr>
        <w:spacing w:line="360" w:lineRule="auto"/>
        <w:jc w:val="left"/>
        <w:rPr>
          <w:rFonts w:asciiTheme="minorEastAsia" w:hAnsiTheme="minorEastAsia"/>
          <w:szCs w:val="21"/>
        </w:rPr>
      </w:pPr>
      <w:r>
        <w:rPr>
          <w:rFonts w:hint="eastAsia" w:asciiTheme="minorEastAsia" w:hAnsiTheme="minorEastAsia"/>
          <w:szCs w:val="21"/>
        </w:rPr>
        <w:t>2020年9月28日起,本馆恢复报刊阅览室周一开放时间（12：00--17：00），周一报刊阅览室预约名额为100人。</w:t>
      </w:r>
    </w:p>
    <w:p>
      <w:pPr>
        <w:spacing w:line="360" w:lineRule="auto"/>
        <w:jc w:val="left"/>
        <w:rPr>
          <w:rFonts w:asciiTheme="minorEastAsia" w:hAnsiTheme="minorEastAsia"/>
          <w:szCs w:val="21"/>
        </w:rPr>
      </w:pPr>
      <w:r>
        <w:rPr>
          <w:rFonts w:hint="eastAsia" w:asciiTheme="minorEastAsia" w:hAnsiTheme="minorEastAsia"/>
          <w:szCs w:val="21"/>
        </w:rPr>
        <w:t>2020年10月,闵行区图书馆参加闵行区“大小牵小手”公益捐赠活动，向云南和新疆的小朋友捐赠图书，用书籍传递爱心和希望。</w:t>
      </w:r>
    </w:p>
    <w:p>
      <w:pPr>
        <w:spacing w:line="360" w:lineRule="auto"/>
        <w:jc w:val="left"/>
        <w:rPr>
          <w:rFonts w:asciiTheme="minorEastAsia" w:hAnsiTheme="minorEastAsia"/>
          <w:szCs w:val="21"/>
        </w:rPr>
      </w:pPr>
      <w:r>
        <w:rPr>
          <w:rFonts w:hint="eastAsia" w:asciiTheme="minorEastAsia" w:hAnsiTheme="minorEastAsia"/>
          <w:szCs w:val="21"/>
        </w:rPr>
        <w:t>2020年10月,闵行区图书馆荣获“2020上海童话节优秀组织奖”。</w:t>
      </w:r>
    </w:p>
    <w:p>
      <w:pPr>
        <w:spacing w:line="360" w:lineRule="auto"/>
        <w:jc w:val="left"/>
        <w:rPr>
          <w:rFonts w:asciiTheme="minorEastAsia" w:hAnsiTheme="minorEastAsia"/>
          <w:szCs w:val="21"/>
        </w:rPr>
      </w:pPr>
      <w:r>
        <w:rPr>
          <w:rFonts w:hint="eastAsia" w:asciiTheme="minorEastAsia" w:hAnsiTheme="minorEastAsia"/>
          <w:szCs w:val="21"/>
        </w:rPr>
        <w:t>2020年10月20日,“闵图妈妈小屋”系列亲子阅读活动荣获2020年全国文化和旅游志愿服务项目线上大赛三等奖。</w:t>
      </w:r>
    </w:p>
    <w:p>
      <w:pPr>
        <w:spacing w:line="360" w:lineRule="auto"/>
        <w:jc w:val="left"/>
        <w:rPr>
          <w:rFonts w:asciiTheme="minorEastAsia" w:hAnsiTheme="minorEastAsia"/>
          <w:szCs w:val="21"/>
        </w:rPr>
      </w:pPr>
      <w:r>
        <w:rPr>
          <w:rFonts w:hint="eastAsia" w:asciiTheme="minorEastAsia" w:hAnsiTheme="minorEastAsia"/>
          <w:szCs w:val="21"/>
        </w:rPr>
        <w:t>2020年10月23日,完成闵行区图书馆机房强电改造项目，加强机房安全建设。</w:t>
      </w:r>
    </w:p>
    <w:p>
      <w:pPr>
        <w:spacing w:line="360" w:lineRule="auto"/>
        <w:jc w:val="left"/>
        <w:rPr>
          <w:rFonts w:asciiTheme="minorEastAsia" w:hAnsiTheme="minorEastAsia"/>
          <w:szCs w:val="21"/>
        </w:rPr>
      </w:pPr>
      <w:r>
        <w:rPr>
          <w:rFonts w:hint="eastAsia" w:asciiTheme="minorEastAsia" w:hAnsiTheme="minorEastAsia"/>
          <w:szCs w:val="21"/>
        </w:rPr>
        <w:t>2020年10月24日,闵图妈妈小屋开展首场线下阅读活动——“爷爷奶奶是超人”，活动邀请“朗读天使”志愿团队，携手闵行融媒体“成长俱乐部”、保利城市剧院共同参与，共计37组家庭报名参加，后续通过今日闵行app及电视节目进行报道。后继于11月开展手工活动——“马勺文化”、12月朗读天使——“冬日里的魔法”，共计参与156人。</w:t>
      </w:r>
    </w:p>
    <w:p>
      <w:pPr>
        <w:spacing w:line="360" w:lineRule="auto"/>
        <w:jc w:val="left"/>
        <w:rPr>
          <w:rFonts w:asciiTheme="minorEastAsia" w:hAnsiTheme="minorEastAsia"/>
          <w:szCs w:val="21"/>
        </w:rPr>
      </w:pPr>
      <w:r>
        <w:rPr>
          <w:rFonts w:hint="eastAsia" w:asciiTheme="minorEastAsia" w:hAnsiTheme="minorEastAsia"/>
          <w:szCs w:val="21"/>
        </w:rPr>
        <w:t>2020年10月24日,2020年上海市民文化节青少年传统文化知识大赛在嘉定区总工会剧场举行。经过决赛与突围赛的角逐，闵行区共有8位选手进入百强名单。</w:t>
      </w:r>
    </w:p>
    <w:p>
      <w:pPr>
        <w:spacing w:line="360" w:lineRule="auto"/>
        <w:jc w:val="left"/>
        <w:rPr>
          <w:rFonts w:asciiTheme="minorEastAsia" w:hAnsiTheme="minorEastAsia"/>
          <w:szCs w:val="21"/>
        </w:rPr>
      </w:pPr>
      <w:r>
        <w:rPr>
          <w:rFonts w:hint="eastAsia" w:asciiTheme="minorEastAsia" w:hAnsiTheme="minorEastAsia"/>
          <w:szCs w:val="21"/>
        </w:rPr>
        <w:t>2020年10月27日,每张读者证最高外借书刊册数由10册提升至15册。但本次流通政策调整暂不包括街道（乡镇）社区文化活动中心内设图书馆，该政策调整将在市、区两级成员馆内稳定运行后，分批、分区域在街道（乡镇）级成员馆中推进。</w:t>
      </w:r>
    </w:p>
    <w:p>
      <w:pPr>
        <w:spacing w:line="360" w:lineRule="auto"/>
        <w:jc w:val="left"/>
        <w:rPr>
          <w:rFonts w:asciiTheme="minorEastAsia" w:hAnsiTheme="minorEastAsia"/>
          <w:szCs w:val="21"/>
        </w:rPr>
      </w:pPr>
      <w:r>
        <w:rPr>
          <w:rFonts w:hint="eastAsia" w:asciiTheme="minorEastAsia" w:hAnsiTheme="minorEastAsia"/>
          <w:szCs w:val="21"/>
        </w:rPr>
        <w:t>2020年11月5日,闵行区图书馆通过上海享物公益基金会向云南省保山市文化和旅游局捐赠的20000册图书顺利交付，此次交付共分两批分别发放给施甸图书馆和隆阳区图书馆，让对口扶贫地区人民感受到闵行区政府和人民真真实实的情谊。</w:t>
      </w:r>
    </w:p>
    <w:p>
      <w:pPr>
        <w:spacing w:line="360" w:lineRule="auto"/>
        <w:jc w:val="left"/>
        <w:rPr>
          <w:rFonts w:asciiTheme="minorEastAsia" w:hAnsiTheme="minorEastAsia"/>
          <w:szCs w:val="21"/>
        </w:rPr>
      </w:pPr>
      <w:r>
        <w:rPr>
          <w:rFonts w:hint="eastAsia" w:asciiTheme="minorEastAsia" w:hAnsiTheme="minorEastAsia"/>
          <w:szCs w:val="21"/>
        </w:rPr>
        <w:t>2020年11月12日,闵行区图书馆召开闵行“城市书柜”项目工作会议。“城市书柜”项目作为闵行区图书馆总分馆制建设下的有效补充，通过政府采买服务的方式，延伸服务触角至市民家门口，提供各柜间通借通还的图书借阅服务。通过前期对区内众多点位的走访排摸，在听取基层需求、考察周围阅读氛围等基础上，从中甄选了20处较为成熟点位，类型涵盖了居民社区、商圈、企业园区等。现20个城市书柜都已投放完成。</w:t>
      </w:r>
    </w:p>
    <w:p>
      <w:pPr>
        <w:spacing w:line="360" w:lineRule="auto"/>
        <w:jc w:val="left"/>
        <w:rPr>
          <w:rFonts w:asciiTheme="minorEastAsia" w:hAnsiTheme="minorEastAsia"/>
          <w:szCs w:val="21"/>
        </w:rPr>
      </w:pPr>
      <w:r>
        <w:rPr>
          <w:rFonts w:hint="eastAsia" w:asciiTheme="minorEastAsia" w:hAnsiTheme="minorEastAsia"/>
          <w:szCs w:val="21"/>
        </w:rPr>
        <w:t>2020年12月9日,截至12月9日，闵行区图书馆少儿室共整理过刊2900册，分两批打包捐赠至北桥社区爱心书屋。</w:t>
      </w:r>
    </w:p>
    <w:p>
      <w:pPr>
        <w:spacing w:line="360" w:lineRule="auto"/>
        <w:jc w:val="left"/>
        <w:rPr>
          <w:rFonts w:asciiTheme="minorEastAsia" w:hAnsiTheme="minorEastAsia"/>
          <w:szCs w:val="21"/>
        </w:rPr>
      </w:pPr>
      <w:r>
        <w:rPr>
          <w:rFonts w:hint="eastAsia" w:asciiTheme="minorEastAsia" w:hAnsiTheme="minorEastAsia"/>
          <w:szCs w:val="21"/>
        </w:rPr>
        <w:t>2020年12月25日,2020年度上海市中心图书馆 、公共数字文化工程、协作网总结表彰大会在普陀区图书馆召开。闵行区图书馆荣获“2020年度上海市中心图书馆协作参与奖”、“2020年度上海市中心图书馆新媒体影响力奖”以及“2020年度文化部公共数字文化工程工作先进集体”。同时，闵行区新虹街道图书馆、江川路街道图书馆荣获“2020年度上海市中心图书馆（街镇成员馆）工作先进集体”。</w:t>
      </w:r>
    </w:p>
    <w:p>
      <w:pPr>
        <w:spacing w:line="360" w:lineRule="auto"/>
        <w:jc w:val="left"/>
        <w:rPr>
          <w:rFonts w:asciiTheme="minorEastAsia" w:hAnsiTheme="minorEastAsia"/>
          <w:szCs w:val="21"/>
        </w:rPr>
      </w:pPr>
      <w:r>
        <w:rPr>
          <w:rFonts w:hint="eastAsia" w:asciiTheme="minorEastAsia" w:hAnsiTheme="minorEastAsia"/>
          <w:szCs w:val="21"/>
        </w:rPr>
        <w:t>2020年12月26日,敏读会开展疫情后首场活动：欧美藏书名家恩仇录。主讲人为西方书志学爱好者虞顺祥、译者，体育专栏作者于睿寅、《澎湃新闻•上海书评》执行主编郑诗亮、译者，编辑顾真。</w:t>
      </w:r>
    </w:p>
    <w:p>
      <w:pPr>
        <w:spacing w:line="360" w:lineRule="auto"/>
        <w:jc w:val="left"/>
        <w:rPr>
          <w:rFonts w:asciiTheme="minorEastAsia" w:hAnsiTheme="minorEastAsia"/>
          <w:szCs w:val="21"/>
        </w:rPr>
      </w:pPr>
      <w:r>
        <w:rPr>
          <w:rFonts w:hint="eastAsia" w:asciiTheme="minorEastAsia" w:hAnsiTheme="minorEastAsia"/>
          <w:szCs w:val="21"/>
        </w:rPr>
        <w:t>2020年12月29日,闵行区图书馆召开2020年街镇图书馆年度总结会。区图结合上图“2020年度街镇馆考核综合评分”及各馆参与活动、获奖情况的折算汇总，评定了工作先进集体奖、读者活动第一名、图书馆业务第一名、工作优秀组织奖、读者活动优胜奖、图书馆业务优胜奖等6个奖项。新虹街道图书馆、江川路街道图书馆、梅陇镇图书馆、马桥镇图书馆、古美路街道图书馆、华漕镇图书馆、虹桥镇图书馆获得了表彰。</w:t>
      </w: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left"/>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四、二〇二〇年度社会责任报告</w:t>
      </w:r>
    </w:p>
    <w:p>
      <w:pPr>
        <w:spacing w:line="360" w:lineRule="auto"/>
        <w:ind w:firstLine="387" w:firstLineChars="184"/>
        <w:rPr>
          <w:rFonts w:ascii="微软雅黑" w:hAnsi="微软雅黑" w:eastAsia="微软雅黑"/>
          <w:b/>
          <w:szCs w:val="21"/>
        </w:rPr>
      </w:pPr>
      <w:r>
        <w:rPr>
          <w:rFonts w:hint="eastAsia" w:ascii="微软雅黑" w:hAnsi="微软雅黑" w:eastAsia="微软雅黑"/>
          <w:b/>
          <w:szCs w:val="21"/>
        </w:rPr>
        <w:t>一、公开陈述</w:t>
      </w:r>
    </w:p>
    <w:p>
      <w:pPr>
        <w:spacing w:line="360" w:lineRule="auto"/>
        <w:ind w:firstLine="420" w:firstLineChars="200"/>
        <w:rPr>
          <w:rFonts w:asciiTheme="minorEastAsia" w:hAnsiTheme="minorEastAsia"/>
          <w:szCs w:val="21"/>
        </w:rPr>
      </w:pPr>
      <w:bookmarkStart w:id="0" w:name="OLE_LINK1"/>
      <w:r>
        <w:rPr>
          <w:rFonts w:hint="eastAsia" w:asciiTheme="minorEastAsia" w:hAnsiTheme="minorEastAsia"/>
          <w:szCs w:val="21"/>
        </w:rPr>
        <w:t>上海市闵行区图书馆是政府全额拨款的公益性文化事业单位，</w:t>
      </w:r>
      <w:bookmarkEnd w:id="0"/>
      <w:r>
        <w:rPr>
          <w:rFonts w:hint="eastAsia" w:asciiTheme="minorEastAsia" w:hAnsiTheme="minorEastAsia"/>
          <w:szCs w:val="21"/>
        </w:rPr>
        <w:t>2020年将紧紧围绕“</w:t>
      </w:r>
      <w:r>
        <w:rPr>
          <w:rFonts w:hint="eastAsia" w:asciiTheme="minorEastAsia" w:hAnsiTheme="minorEastAsia"/>
          <w:color w:val="000000"/>
          <w:szCs w:val="21"/>
        </w:rPr>
        <w:t>用心服务、提升内涵</w:t>
      </w:r>
      <w:r>
        <w:rPr>
          <w:rFonts w:hint="eastAsia" w:asciiTheme="minorEastAsia" w:hAnsiTheme="minorEastAsia"/>
          <w:szCs w:val="21"/>
        </w:rPr>
        <w:t>”这一主线，以读者至上为核心，以满意服务为目标，以读者活动为抓手，以日常管理为保障，强化基础业务建设，有条不紊推进各项工作，充分发挥图书馆对社会所承担的保存人类文化遗产、为社会公众提供文献信息资源服务、对社会公众进行终身教育等社会职能，同时加强员工自身建设，勇于承担社会责任，在保障图书馆服务普遍均等、缩小社会信息鸿沟、促进社会信息公平、提高公民素质、促进人的全面发展和社会可持续发展方面做出了突出贡献。</w:t>
      </w:r>
    </w:p>
    <w:p>
      <w:pPr>
        <w:spacing w:line="360" w:lineRule="auto"/>
        <w:ind w:firstLine="420" w:firstLineChars="200"/>
        <w:rPr>
          <w:rFonts w:asciiTheme="minorEastAsia" w:hAnsiTheme="minorEastAsia"/>
          <w:szCs w:val="21"/>
        </w:rPr>
      </w:pPr>
      <w:r>
        <w:rPr>
          <w:rFonts w:hint="eastAsia" w:asciiTheme="minorEastAsia" w:hAnsiTheme="minorEastAsia"/>
          <w:szCs w:val="21"/>
        </w:rPr>
        <w:t>本报告忠实反映了上海市闵行区图书馆在2020年度创建期内的各项工作成绩。</w:t>
      </w:r>
    </w:p>
    <w:p>
      <w:pPr>
        <w:spacing w:line="360" w:lineRule="auto"/>
        <w:ind w:firstLine="452" w:firstLineChars="200"/>
        <w:rPr>
          <w:rFonts w:asciiTheme="minorEastAsia" w:hAnsiTheme="minorEastAsia"/>
          <w:spacing w:val="8"/>
          <w:szCs w:val="21"/>
        </w:rPr>
      </w:pPr>
    </w:p>
    <w:p>
      <w:pPr>
        <w:spacing w:line="360" w:lineRule="auto"/>
        <w:ind w:firstLine="452" w:firstLineChars="200"/>
        <w:jc w:val="right"/>
        <w:rPr>
          <w:rFonts w:asciiTheme="minorEastAsia" w:hAnsiTheme="minorEastAsia"/>
          <w:spacing w:val="8"/>
          <w:szCs w:val="21"/>
        </w:rPr>
      </w:pPr>
      <w:r>
        <w:rPr>
          <w:rFonts w:hint="eastAsia" w:asciiTheme="minorEastAsia" w:hAnsiTheme="minorEastAsia"/>
          <w:spacing w:val="8"/>
          <w:szCs w:val="21"/>
        </w:rPr>
        <w:t xml:space="preserve">                                 上海市闵行区图书馆馆长</w:t>
      </w:r>
    </w:p>
    <w:p>
      <w:pPr>
        <w:spacing w:line="360" w:lineRule="auto"/>
        <w:ind w:right="512" w:firstLine="452" w:firstLineChars="200"/>
        <w:jc w:val="center"/>
        <w:rPr>
          <w:rFonts w:asciiTheme="minorEastAsia" w:hAnsiTheme="minorEastAsia"/>
          <w:spacing w:val="8"/>
          <w:szCs w:val="21"/>
        </w:rPr>
      </w:pPr>
      <w:r>
        <w:rPr>
          <w:rFonts w:hint="eastAsia" w:asciiTheme="minorEastAsia" w:hAnsiTheme="minorEastAsia"/>
          <w:spacing w:val="8"/>
          <w:szCs w:val="21"/>
        </w:rPr>
        <w:t xml:space="preserve">                                               </w:t>
      </w:r>
      <w:r>
        <w:rPr>
          <w:rFonts w:asciiTheme="minorEastAsia" w:hAnsiTheme="minorEastAsia"/>
          <w:spacing w:val="8"/>
          <w:szCs w:val="21"/>
        </w:rPr>
        <w:drawing>
          <wp:inline distT="0" distB="0" distL="0" distR="0">
            <wp:extent cx="942340" cy="466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942974" cy="466725"/>
                    </a:xfrm>
                    <a:prstGeom prst="rect">
                      <a:avLst/>
                    </a:prstGeom>
                    <a:noFill/>
                    <a:ln>
                      <a:noFill/>
                    </a:ln>
                  </pic:spPr>
                </pic:pic>
              </a:graphicData>
            </a:graphic>
          </wp:inline>
        </w:drawing>
      </w:r>
    </w:p>
    <w:p>
      <w:pPr>
        <w:pStyle w:val="13"/>
        <w:numPr>
          <w:ilvl w:val="0"/>
          <w:numId w:val="1"/>
        </w:numPr>
        <w:spacing w:line="360" w:lineRule="auto"/>
        <w:ind w:firstLineChars="0"/>
        <w:rPr>
          <w:rFonts w:ascii="微软雅黑" w:hAnsi="微软雅黑" w:eastAsia="微软雅黑"/>
          <w:b/>
          <w:szCs w:val="21"/>
        </w:rPr>
      </w:pPr>
      <w:r>
        <w:rPr>
          <w:rFonts w:hint="eastAsia" w:ascii="微软雅黑" w:hAnsi="微软雅黑" w:eastAsia="微软雅黑"/>
          <w:b/>
          <w:szCs w:val="21"/>
        </w:rPr>
        <w:t>基本情况</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1、规模与性质</w:t>
      </w:r>
    </w:p>
    <w:p>
      <w:pPr>
        <w:spacing w:line="360" w:lineRule="auto"/>
        <w:ind w:firstLine="420" w:firstLineChars="200"/>
        <w:rPr>
          <w:rFonts w:asciiTheme="minorEastAsia" w:hAnsiTheme="minorEastAsia"/>
          <w:szCs w:val="21"/>
        </w:rPr>
      </w:pPr>
      <w:r>
        <w:rPr>
          <w:rFonts w:hint="eastAsia" w:asciiTheme="minorEastAsia" w:hAnsiTheme="minorEastAsia"/>
          <w:szCs w:val="21"/>
        </w:rPr>
        <w:t>上海市闵行区图书馆的前身是上海县图书馆，始建于1958年，1992年撤县建区后更名为闵行区第一图书馆，2000年更名为上海市闵行区图书馆，2003年加盟上海中心图书馆成为闵行分馆。2010年新馆搬迁于名都路85号春申文化广场内，占地2695平方米，建筑面积15500平方米，2010年1月18日起向社会开放。</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上海市闵行区图书馆是属于社会公益服务一类的事业单位，本馆秉持“开放、免费、普遍均等”的服务理念，始终坚持“以人为本”和“读者第一，服务至上”的服务宗旨，努力贯彻实践上海市公共图书馆行业“</w:t>
      </w:r>
      <w:r>
        <w:rPr>
          <w:rFonts w:asciiTheme="minorEastAsia" w:hAnsiTheme="minorEastAsia"/>
          <w:szCs w:val="21"/>
        </w:rPr>
        <w:t>一视同仁，耐心细致，及时快捷，想方设法</w:t>
      </w:r>
      <w:r>
        <w:rPr>
          <w:rFonts w:hint="eastAsia" w:asciiTheme="minorEastAsia" w:hAnsiTheme="minorEastAsia"/>
          <w:szCs w:val="21"/>
        </w:rPr>
        <w:t>”的服务承诺，不仅提供图书外借、阅览、信息咨询、讲座、社会教育培训等传统图书馆服务，还积极推进数字图书馆建设，利用闵行区图书馆网站提供书目查询、续借、知识导航、信息咨询、数字资源检索与利用、远程访问、无线上网等服务。</w:t>
      </w:r>
    </w:p>
    <w:p>
      <w:pPr>
        <w:spacing w:line="360" w:lineRule="auto"/>
        <w:ind w:firstLine="420" w:firstLineChars="200"/>
        <w:jc w:val="left"/>
        <w:rPr>
          <w:rFonts w:ascii="微软雅黑" w:hAnsi="微软雅黑" w:eastAsia="微软雅黑"/>
          <w:b/>
          <w:szCs w:val="21"/>
        </w:rPr>
      </w:pPr>
      <w:r>
        <w:rPr>
          <w:rFonts w:hint="eastAsia" w:ascii="微软雅黑" w:hAnsi="微软雅黑" w:eastAsia="微软雅黑"/>
          <w:b/>
          <w:szCs w:val="21"/>
        </w:rPr>
        <w:t>2、所属类别</w:t>
      </w:r>
    </w:p>
    <w:p>
      <w:pPr>
        <w:spacing w:line="360" w:lineRule="auto"/>
        <w:ind w:firstLine="420" w:firstLineChars="200"/>
        <w:jc w:val="left"/>
        <w:rPr>
          <w:rFonts w:asciiTheme="minorEastAsia" w:hAnsiTheme="minorEastAsia"/>
          <w:szCs w:val="21"/>
        </w:rPr>
      </w:pPr>
      <w:r>
        <w:rPr>
          <w:rFonts w:hint="eastAsia" w:asciiTheme="minorEastAsia" w:hAnsiTheme="minorEastAsia"/>
          <w:szCs w:val="21"/>
        </w:rPr>
        <w:t>事业类。</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三、报告内容</w:t>
      </w:r>
    </w:p>
    <w:p>
      <w:pPr>
        <w:spacing w:line="360" w:lineRule="auto"/>
        <w:ind w:firstLine="519" w:firstLineChars="247"/>
        <w:rPr>
          <w:rFonts w:ascii="微软雅黑" w:hAnsi="微软雅黑" w:eastAsia="微软雅黑"/>
          <w:b/>
          <w:szCs w:val="21"/>
        </w:rPr>
      </w:pPr>
      <w:r>
        <w:rPr>
          <w:rFonts w:hint="eastAsia" w:ascii="微软雅黑" w:hAnsi="微软雅黑" w:eastAsia="微软雅黑"/>
          <w:b/>
          <w:szCs w:val="21"/>
        </w:rPr>
        <w:t>（一）加强员工学习教育，保障职工合法权益</w:t>
      </w:r>
    </w:p>
    <w:p>
      <w:pPr>
        <w:spacing w:line="360" w:lineRule="auto"/>
        <w:ind w:left="147" w:leftChars="70" w:firstLine="420" w:firstLineChars="200"/>
        <w:rPr>
          <w:rFonts w:ascii="微软雅黑" w:hAnsi="微软雅黑" w:eastAsia="微软雅黑"/>
          <w:b/>
          <w:szCs w:val="21"/>
        </w:rPr>
      </w:pPr>
      <w:r>
        <w:rPr>
          <w:rFonts w:hint="eastAsia" w:ascii="微软雅黑" w:hAnsi="微软雅黑" w:eastAsia="微软雅黑"/>
          <w:b/>
          <w:szCs w:val="21"/>
        </w:rPr>
        <w:t>1、理论学习：提高员工政治素养</w:t>
      </w:r>
    </w:p>
    <w:p>
      <w:pPr>
        <w:spacing w:line="360" w:lineRule="auto"/>
        <w:ind w:left="147" w:leftChars="70" w:firstLine="452" w:firstLineChars="200"/>
        <w:rPr>
          <w:rFonts w:asciiTheme="minorEastAsia" w:hAnsiTheme="minorEastAsia"/>
          <w:spacing w:val="8"/>
          <w:szCs w:val="21"/>
        </w:rPr>
      </w:pPr>
      <w:r>
        <w:rPr>
          <w:rFonts w:hint="eastAsia" w:asciiTheme="minorEastAsia" w:hAnsiTheme="minorEastAsia"/>
          <w:spacing w:val="8"/>
          <w:szCs w:val="21"/>
        </w:rPr>
        <w:t>（1）学习有计划、有常态化活动载体。依据《闵行区图书馆职工政治学习制度》，本馆结合工作实际，每年度都制订相应的学习计划，不仅</w:t>
      </w:r>
      <w:r>
        <w:rPr>
          <w:rFonts w:asciiTheme="minorEastAsia" w:hAnsiTheme="minorEastAsia"/>
          <w:szCs w:val="21"/>
        </w:rPr>
        <w:t>在领导班子和党员内深入开展各类政治理论学习，如：市第十一次党代会精神、党的十九大报告学习</w:t>
      </w:r>
      <w:r>
        <w:rPr>
          <w:rFonts w:hint="eastAsia" w:asciiTheme="minorEastAsia" w:hAnsiTheme="minorEastAsia"/>
          <w:szCs w:val="21"/>
        </w:rPr>
        <w:t>、习近平生态文明思想学习</w:t>
      </w:r>
      <w:r>
        <w:rPr>
          <w:rFonts w:asciiTheme="minorEastAsia" w:hAnsiTheme="minorEastAsia"/>
          <w:szCs w:val="21"/>
        </w:rPr>
        <w:t>等，并在扩大学习会议时，</w:t>
      </w:r>
      <w:r>
        <w:rPr>
          <w:rFonts w:hint="eastAsia" w:asciiTheme="minorEastAsia" w:hAnsiTheme="minorEastAsia"/>
          <w:szCs w:val="21"/>
        </w:rPr>
        <w:t>还</w:t>
      </w:r>
      <w:r>
        <w:rPr>
          <w:rFonts w:asciiTheme="minorEastAsia" w:hAnsiTheme="minorEastAsia"/>
          <w:szCs w:val="21"/>
        </w:rPr>
        <w:t>将入党积极分子、青年团员、部主任和群众职工纳入其中，在学习中加强思想建设，改进个人作风</w:t>
      </w:r>
      <w:r>
        <w:rPr>
          <w:rFonts w:asciiTheme="minorEastAsia" w:hAnsiTheme="minorEastAsia"/>
          <w:spacing w:val="8"/>
          <w:szCs w:val="21"/>
        </w:rPr>
        <w:t>，不断提升党员职工的理论素养、思维水平、决策能力和工作本领；</w:t>
      </w:r>
      <w:r>
        <w:rPr>
          <w:rFonts w:hint="eastAsia" w:asciiTheme="minorEastAsia" w:hAnsiTheme="minorEastAsia"/>
          <w:spacing w:val="8"/>
          <w:szCs w:val="21"/>
        </w:rPr>
        <w:t>2020年我馆制订了《闵行区图书馆关于开展党员群众全覆盖培训 暨“初心”教育工作的实施方案》，全馆职工积极参与。学习内容涉及政治理论学习、廉政教育与作风建设、业务技能交流等，学习形式既有集中上党课、网上大讨论、下发学习材料自学、谈心交流、参观等。并建有“闵图文明之窗”、“闵图党建园地”、“闵图职工之家”局域网站开展宣传、学习、互动交流等，并开通“闵图之家”、“闵图党员之家”Q</w:t>
      </w:r>
      <w:r>
        <w:rPr>
          <w:rFonts w:asciiTheme="minorEastAsia" w:hAnsiTheme="minorEastAsia"/>
          <w:spacing w:val="8"/>
          <w:szCs w:val="21"/>
        </w:rPr>
        <w:t>Q</w:t>
      </w:r>
      <w:r>
        <w:rPr>
          <w:rFonts w:hint="eastAsia" w:asciiTheme="minorEastAsia" w:hAnsiTheme="minorEastAsia"/>
          <w:spacing w:val="8"/>
          <w:szCs w:val="21"/>
        </w:rPr>
        <w:t>及微信群，方便职工学习交流。</w:t>
      </w:r>
    </w:p>
    <w:p>
      <w:pPr>
        <w:spacing w:line="360" w:lineRule="auto"/>
        <w:ind w:left="147" w:leftChars="70" w:firstLine="452" w:firstLineChars="200"/>
        <w:rPr>
          <w:rFonts w:asciiTheme="minorEastAsia" w:hAnsiTheme="minorEastAsia"/>
          <w:spacing w:val="8"/>
          <w:szCs w:val="21"/>
        </w:rPr>
      </w:pPr>
      <w:r>
        <w:rPr>
          <w:rFonts w:hint="eastAsia" w:asciiTheme="minorEastAsia" w:hAnsiTheme="minorEastAsia"/>
          <w:spacing w:val="8"/>
          <w:szCs w:val="21"/>
        </w:rPr>
        <w:t>（2）文明创建有规划、有组织。2020年初我馆便召开馆务会，专题讨论、布置了新一轮文明创建工作，制订了《2020年度闵行区图书馆文明单位创建领导小组及分工》及《2020年度闵行区图书馆文明单位创建计划》，并在部主任会议上进行公布。向全馆职工发起开展文明创建动员，做到文明创建员工知晓率1</w:t>
      </w:r>
      <w:r>
        <w:rPr>
          <w:rFonts w:asciiTheme="minorEastAsia" w:hAnsiTheme="minorEastAsia"/>
          <w:spacing w:val="8"/>
          <w:szCs w:val="21"/>
        </w:rPr>
        <w:t>00%</w:t>
      </w:r>
      <w:r>
        <w:rPr>
          <w:rFonts w:hint="eastAsia" w:asciiTheme="minorEastAsia" w:hAnsiTheme="minorEastAsia"/>
          <w:spacing w:val="8"/>
          <w:szCs w:val="21"/>
        </w:rPr>
        <w:t>，参与率1</w:t>
      </w:r>
      <w:r>
        <w:rPr>
          <w:rFonts w:asciiTheme="minorEastAsia" w:hAnsiTheme="minorEastAsia"/>
          <w:spacing w:val="8"/>
          <w:szCs w:val="21"/>
        </w:rPr>
        <w:t>00%</w:t>
      </w:r>
      <w:r>
        <w:rPr>
          <w:rFonts w:hint="eastAsia" w:asciiTheme="minorEastAsia" w:hAnsiTheme="minorEastAsia"/>
          <w:spacing w:val="8"/>
          <w:szCs w:val="21"/>
        </w:rPr>
        <w:t>。而且工会召开相关会议，要求四个班组根据本馆的文明创建计划，制订了每个班组相应的文明创建计划，进一步细化工作内容，将责任落实到人，保障计划执行到位。</w:t>
      </w:r>
    </w:p>
    <w:p>
      <w:pPr>
        <w:spacing w:line="360" w:lineRule="auto"/>
        <w:ind w:left="147" w:leftChars="70" w:firstLine="452" w:firstLineChars="200"/>
        <w:rPr>
          <w:rFonts w:asciiTheme="minorEastAsia" w:hAnsiTheme="minorEastAsia"/>
          <w:color w:val="000000"/>
          <w:szCs w:val="21"/>
        </w:rPr>
      </w:pPr>
      <w:r>
        <w:rPr>
          <w:rFonts w:hint="eastAsia" w:asciiTheme="minorEastAsia" w:hAnsiTheme="minorEastAsia"/>
          <w:spacing w:val="8"/>
          <w:szCs w:val="21"/>
        </w:rPr>
        <w:t>（3）持续开展丰富的文明创建活动。</w:t>
      </w:r>
      <w:r>
        <w:rPr>
          <w:rFonts w:hint="eastAsia" w:asciiTheme="minorEastAsia" w:hAnsiTheme="minorEastAsia"/>
          <w:b/>
          <w:spacing w:val="8"/>
          <w:szCs w:val="21"/>
        </w:rPr>
        <w:t xml:space="preserve"> </w:t>
      </w:r>
      <w:r>
        <w:rPr>
          <w:rFonts w:asciiTheme="minorEastAsia" w:hAnsiTheme="minorEastAsia"/>
          <w:b/>
          <w:spacing w:val="8"/>
          <w:szCs w:val="21"/>
        </w:rPr>
        <w:t xml:space="preserve"> </w:t>
      </w:r>
      <w:r>
        <w:rPr>
          <w:rFonts w:hint="eastAsia" w:asciiTheme="minorEastAsia" w:hAnsiTheme="minorEastAsia"/>
          <w:spacing w:val="8"/>
          <w:szCs w:val="21"/>
        </w:rPr>
        <w:t>我馆文明创建工作主要分党、政、工三条线按计划开展活动的。党支部负责职工思想建设、员工教育、同创共建等，行政负责业务建设、诚信服务、员工技能培训及环保节能等，工会负责员工劳动保护、文化建设、公益捐助等，另外团支部负责员工志愿服务等方面工作。自2020年初起，本馆外借部、阅览部、信息部等读者服务窗口持续开展“至诚服务、至善阅读”的主题教育活动，</w:t>
      </w:r>
      <w:r>
        <w:rPr>
          <w:rFonts w:hint="eastAsia" w:asciiTheme="minorEastAsia" w:hAnsiTheme="minorEastAsia"/>
          <w:color w:val="000000"/>
          <w:szCs w:val="21"/>
        </w:rPr>
        <w:t>把亲子阅读、职工培训、视频播映、读书分享、学术研究、创先争优等</w:t>
      </w:r>
      <w:r>
        <w:rPr>
          <w:rFonts w:asciiTheme="minorEastAsia" w:hAnsiTheme="minorEastAsia"/>
          <w:color w:val="000000"/>
          <w:szCs w:val="21"/>
        </w:rPr>
        <w:t>13</w:t>
      </w:r>
      <w:r>
        <w:rPr>
          <w:rFonts w:hint="eastAsia" w:asciiTheme="minorEastAsia" w:hAnsiTheme="minorEastAsia"/>
          <w:color w:val="000000"/>
          <w:szCs w:val="21"/>
        </w:rPr>
        <w:t>项任务贯穿于全年读者服务中，倡导用心服务、传递精神文明，强化责任意识、提升工作水平，在为广大读者提供方便、快捷、温馨服务的同时，满足读者不断增长的精神文化需求，推进本馆文明创建和闵行区创全工作的开展。</w:t>
      </w:r>
    </w:p>
    <w:tbl>
      <w:tblPr>
        <w:tblStyle w:val="7"/>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4"/>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517775" cy="1678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2518172" cy="1678781"/>
                          </a:xfrm>
                          <a:prstGeom prst="rect">
                            <a:avLst/>
                          </a:prstGeom>
                          <a:noFill/>
                          <a:ln>
                            <a:noFill/>
                          </a:ln>
                        </pic:spPr>
                      </pic:pic>
                    </a:graphicData>
                  </a:graphic>
                </wp:inline>
              </w:drawing>
            </w:r>
          </w:p>
        </w:tc>
        <w:tc>
          <w:tcPr>
            <w:tcW w:w="4161"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442845" cy="1685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3421" cy="168596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学习贯彻习近平总书记“不忘初心、</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牢记使命” 主题教育总结大会讲话精神</w:t>
            </w:r>
          </w:p>
        </w:tc>
        <w:tc>
          <w:tcPr>
            <w:tcW w:w="4161"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参加“诵读红色家书，传承红色基因”七·一联合纪念活动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337435" cy="1750060"/>
                  <wp:effectExtent l="0" t="0" r="571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1200" cy="1752974"/>
                          </a:xfrm>
                          <a:prstGeom prst="rect">
                            <a:avLst/>
                          </a:prstGeom>
                        </pic:spPr>
                      </pic:pic>
                    </a:graphicData>
                  </a:graphic>
                </wp:inline>
              </w:drawing>
            </w:r>
          </w:p>
        </w:tc>
        <w:tc>
          <w:tcPr>
            <w:tcW w:w="4161" w:type="dxa"/>
            <w:shd w:val="clear" w:color="auto" w:fill="auto"/>
            <w:vAlign w:val="center"/>
          </w:tcPr>
          <w:p>
            <w:pPr>
              <w:spacing w:line="360" w:lineRule="auto"/>
              <w:rPr>
                <w:rFonts w:asciiTheme="minorEastAsia" w:hAnsiTheme="minorEastAsia"/>
                <w:spacing w:val="8"/>
                <w:szCs w:val="21"/>
              </w:rPr>
            </w:pPr>
            <w:r>
              <w:rPr>
                <w:rFonts w:hint="eastAsia" w:asciiTheme="minorEastAsia" w:hAnsiTheme="minorEastAsia"/>
                <w:spacing w:val="8"/>
                <w:szCs w:val="21"/>
              </w:rPr>
              <w:drawing>
                <wp:inline distT="0" distB="0" distL="0" distR="0">
                  <wp:extent cx="2286000" cy="17138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253" cy="172143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4" w:type="dxa"/>
            <w:shd w:val="clear" w:color="auto" w:fill="auto"/>
            <w:vAlign w:val="center"/>
          </w:tcPr>
          <w:p>
            <w:pPr>
              <w:spacing w:line="360" w:lineRule="auto"/>
              <w:jc w:val="center"/>
              <w:rPr>
                <w:rFonts w:asciiTheme="minorEastAsia" w:hAnsiTheme="minorEastAsia"/>
                <w:spacing w:val="8"/>
                <w:szCs w:val="21"/>
              </w:rPr>
            </w:pPr>
            <w:r>
              <w:rPr>
                <w:rFonts w:hint="eastAsia" w:asciiTheme="minorEastAsia" w:hAnsiTheme="minorEastAsia"/>
                <w:spacing w:val="8"/>
                <w:szCs w:val="21"/>
              </w:rPr>
              <w:t>召开“党员人人讲党课，学思践悟共行动”系列党课</w:t>
            </w:r>
          </w:p>
        </w:tc>
        <w:tc>
          <w:tcPr>
            <w:tcW w:w="4161" w:type="dxa"/>
            <w:shd w:val="clear" w:color="auto" w:fill="auto"/>
            <w:vAlign w:val="center"/>
          </w:tcPr>
          <w:p>
            <w:pPr>
              <w:spacing w:line="360" w:lineRule="auto"/>
              <w:jc w:val="center"/>
              <w:rPr>
                <w:rFonts w:asciiTheme="minorEastAsia" w:hAnsiTheme="minorEastAsia"/>
                <w:bCs/>
                <w:color w:val="000000"/>
                <w:szCs w:val="21"/>
                <w:shd w:val="clear" w:color="auto" w:fill="FFFFFF"/>
              </w:rPr>
            </w:pPr>
            <w:r>
              <w:rPr>
                <w:rFonts w:hint="eastAsia" w:asciiTheme="minorEastAsia" w:hAnsiTheme="minorEastAsia"/>
                <w:spacing w:val="8"/>
                <w:szCs w:val="21"/>
              </w:rPr>
              <w:t>参观“学四史·翰墨初心倡锦廉--浦锦街道廉政主题书画展 ”</w:t>
            </w:r>
          </w:p>
        </w:tc>
      </w:tr>
    </w:tbl>
    <w:p>
      <w:pPr>
        <w:spacing w:line="360" w:lineRule="auto"/>
        <w:ind w:left="147" w:leftChars="70" w:firstLine="226" w:firstLineChars="100"/>
        <w:rPr>
          <w:rFonts w:asciiTheme="minorEastAsia" w:hAnsiTheme="minorEastAsia"/>
          <w:spacing w:val="8"/>
          <w:szCs w:val="21"/>
        </w:rPr>
      </w:pPr>
    </w:p>
    <w:p>
      <w:pPr>
        <w:spacing w:line="360" w:lineRule="auto"/>
        <w:ind w:left="147" w:leftChars="70" w:firstLine="210" w:firstLineChars="100"/>
        <w:rPr>
          <w:rFonts w:ascii="微软雅黑" w:hAnsi="微软雅黑" w:eastAsia="微软雅黑"/>
          <w:b/>
          <w:szCs w:val="21"/>
        </w:rPr>
      </w:pPr>
      <w:r>
        <w:rPr>
          <w:rFonts w:hint="eastAsia" w:ascii="微软雅黑" w:hAnsi="微软雅黑" w:eastAsia="微软雅黑"/>
          <w:b/>
          <w:szCs w:val="21"/>
        </w:rPr>
        <w:t>2、员工教育:开展市民修养行动</w:t>
      </w:r>
    </w:p>
    <w:p>
      <w:pPr>
        <w:spacing w:line="360" w:lineRule="auto"/>
        <w:ind w:firstLine="420"/>
        <w:rPr>
          <w:rFonts w:asciiTheme="minorEastAsia" w:hAnsiTheme="minorEastAsia"/>
          <w:szCs w:val="21"/>
        </w:rPr>
      </w:pPr>
      <w:r>
        <w:rPr>
          <w:rFonts w:hint="eastAsia" w:asciiTheme="minorEastAsia" w:hAnsiTheme="minorEastAsia"/>
          <w:bCs/>
          <w:color w:val="000000"/>
          <w:szCs w:val="21"/>
        </w:rPr>
        <w:t>（</w:t>
      </w:r>
      <w:r>
        <w:rPr>
          <w:rFonts w:asciiTheme="minorEastAsia" w:hAnsiTheme="minorEastAsia"/>
          <w:bCs/>
          <w:color w:val="000000"/>
          <w:szCs w:val="21"/>
        </w:rPr>
        <w:t>1）</w:t>
      </w:r>
      <w:r>
        <w:rPr>
          <w:rFonts w:hint="eastAsia" w:asciiTheme="minorEastAsia" w:hAnsiTheme="minorEastAsia"/>
          <w:bCs/>
          <w:color w:val="000000"/>
          <w:szCs w:val="21"/>
        </w:rPr>
        <w:t>组织开展职工活动，推进团队文化建设。一是</w:t>
      </w:r>
      <w:r>
        <w:rPr>
          <w:rFonts w:hint="eastAsia" w:asciiTheme="minorEastAsia" w:hAnsiTheme="minorEastAsia"/>
          <w:szCs w:val="21"/>
        </w:rPr>
        <w:t>每年至少自主举办职工运动会，旨在活跃工作氛围，凝聚人心，培养团队合作精神。二是组织职工参加馆外的活动，如局运动会、区文广局广播操队、 “书画摄影征集活动”等。三是组织开展女工活动，如</w:t>
      </w:r>
      <w:r>
        <w:rPr>
          <w:rFonts w:asciiTheme="minorEastAsia" w:hAnsiTheme="minorEastAsia"/>
          <w:szCs w:val="21"/>
        </w:rPr>
        <w:t>插花活动</w:t>
      </w:r>
      <w:r>
        <w:rPr>
          <w:rFonts w:hint="eastAsia" w:asciiTheme="minorEastAsia" w:hAnsiTheme="minorEastAsia"/>
          <w:szCs w:val="21"/>
        </w:rPr>
        <w:t>、瑜伽健身培训等。四是开展职工培训活动。如由万人培训、上图业务培训等。</w:t>
      </w:r>
    </w:p>
    <w:p>
      <w:pPr>
        <w:spacing w:line="360" w:lineRule="auto"/>
        <w:ind w:firstLine="420" w:firstLineChars="200"/>
        <w:rPr>
          <w:rFonts w:asciiTheme="minorEastAsia" w:hAnsiTheme="minorEastAsia"/>
          <w:color w:val="000000"/>
          <w:szCs w:val="21"/>
        </w:rPr>
      </w:pPr>
      <w:r>
        <w:rPr>
          <w:rFonts w:asciiTheme="minorEastAsia" w:hAnsiTheme="minorEastAsia"/>
          <w:bCs/>
          <w:color w:val="000000"/>
          <w:szCs w:val="21"/>
        </w:rPr>
        <w:t>（2）</w:t>
      </w:r>
      <w:r>
        <w:rPr>
          <w:rFonts w:hint="eastAsia" w:asciiTheme="minorEastAsia" w:hAnsiTheme="minorEastAsia"/>
          <w:bCs/>
          <w:color w:val="000000"/>
          <w:szCs w:val="21"/>
        </w:rPr>
        <w:t>开展各类学习活动，提高员工精神文明。</w:t>
      </w:r>
      <w:r>
        <w:rPr>
          <w:rFonts w:hint="eastAsia" w:asciiTheme="minorEastAsia" w:hAnsiTheme="minorEastAsia"/>
          <w:color w:val="000000"/>
          <w:szCs w:val="21"/>
        </w:rPr>
        <w:t>根据本馆的实际情况，在不同的层面，不拘一格的形式开展各类学习活动，组织员工积极参加各类精神文明创建活动。通过购买发放辅导读物、组织集中观影观展、学习先进典型、组织集中学习等形式培养和践行社会主义核心价值观，学习十九大精神 、习近平新时代中国特色社会主义</w:t>
      </w:r>
      <w:r>
        <w:rPr>
          <w:rFonts w:hint="eastAsia" w:asciiTheme="minorEastAsia" w:hAnsiTheme="minorEastAsia"/>
          <w:bCs/>
          <w:color w:val="000000"/>
          <w:szCs w:val="21"/>
        </w:rPr>
        <w:t>思想、《习近平关于“不忘初心、牢记使命”论述摘编》、《习近平谈治国理政（第三卷）》等，并融入单位团队文化之</w:t>
      </w:r>
      <w:r>
        <w:rPr>
          <w:rFonts w:hint="eastAsia" w:asciiTheme="minorEastAsia" w:hAnsiTheme="minorEastAsia"/>
          <w:color w:val="000000"/>
          <w:szCs w:val="21"/>
        </w:rPr>
        <w:t>中，转化为事业发展的前进动力。</w:t>
      </w:r>
    </w:p>
    <w:p>
      <w:pPr>
        <w:spacing w:line="360" w:lineRule="auto"/>
        <w:ind w:left="147" w:leftChars="70" w:firstLine="452" w:firstLineChars="200"/>
        <w:rPr>
          <w:rFonts w:cs="宋体" w:asciiTheme="minorEastAsia" w:hAnsiTheme="minorEastAsia"/>
          <w:kern w:val="0"/>
          <w:szCs w:val="21"/>
        </w:rPr>
      </w:pPr>
      <w:r>
        <w:rPr>
          <w:rFonts w:hint="eastAsia" w:asciiTheme="minorEastAsia" w:hAnsiTheme="minorEastAsia"/>
          <w:spacing w:val="8"/>
          <w:szCs w:val="21"/>
        </w:rPr>
        <w:t>（3）举办各类培训活动，提升员工综合素质。</w:t>
      </w:r>
      <w:r>
        <w:rPr>
          <w:rFonts w:hint="eastAsia" w:asciiTheme="minorEastAsia" w:hAnsiTheme="minorEastAsia"/>
          <w:szCs w:val="21"/>
        </w:rPr>
        <w:t>一是</w:t>
      </w:r>
      <w:r>
        <w:rPr>
          <w:rFonts w:hint="eastAsia" w:cs="宋体" w:asciiTheme="minorEastAsia" w:hAnsiTheme="minorEastAsia"/>
          <w:kern w:val="0"/>
          <w:szCs w:val="21"/>
        </w:rPr>
        <w:t>组织青年职工参与党建方面的知识学习、形势教育等活动。二是积极参加图书馆行业组织各类业务培训。三是与上海交大图书馆合作，开展馆际业务交流。四是分批组织职工参与上海市文化从业人员万人大培训，并从经费上为职工参加业务培训提供支持。五是以敏思学社为依托，开展学术交流。还开展职工读书征文活动、业务技能大比拼及岗位交流活动等。</w:t>
      </w:r>
    </w:p>
    <w:p>
      <w:pPr>
        <w:spacing w:line="360" w:lineRule="auto"/>
        <w:ind w:firstLine="525" w:firstLineChars="250"/>
        <w:rPr>
          <w:rFonts w:ascii="微软雅黑" w:hAnsi="微软雅黑" w:eastAsia="微软雅黑"/>
          <w:b/>
          <w:szCs w:val="21"/>
        </w:rPr>
      </w:pPr>
      <w:r>
        <w:rPr>
          <w:rFonts w:ascii="微软雅黑" w:hAnsi="微软雅黑" w:eastAsia="微软雅黑"/>
          <w:b/>
          <w:szCs w:val="21"/>
        </w:rPr>
        <w:t>3</w:t>
      </w:r>
      <w:r>
        <w:rPr>
          <w:rFonts w:hint="eastAsia" w:ascii="微软雅黑" w:hAnsi="微软雅黑" w:eastAsia="微软雅黑"/>
          <w:b/>
          <w:szCs w:val="21"/>
        </w:rPr>
        <w:t>、员工录用：按照制度规范操作</w:t>
      </w:r>
    </w:p>
    <w:p>
      <w:pPr>
        <w:spacing w:line="360" w:lineRule="auto"/>
        <w:ind w:firstLine="452" w:firstLineChars="200"/>
        <w:rPr>
          <w:rFonts w:asciiTheme="minorEastAsia" w:hAnsiTheme="minorEastAsia"/>
          <w:spacing w:val="8"/>
          <w:szCs w:val="21"/>
        </w:rPr>
      </w:pPr>
      <w:r>
        <w:rPr>
          <w:rFonts w:hint="eastAsia" w:asciiTheme="minorEastAsia" w:hAnsiTheme="minorEastAsia"/>
          <w:spacing w:val="8"/>
          <w:szCs w:val="21"/>
        </w:rPr>
        <w:t>（1）规范用工。本馆严格按照上海市事业单位公开招聘办法，员工录用程序规范、透明，经过统一考试、面试等环节，确定录用后，经过试用期合格的，按相关法律规定全部签订劳动合同，签订劳动合同率100%。本馆职工65名。其中编制内职工49人、派遣制职工16人。</w:t>
      </w:r>
    </w:p>
    <w:p>
      <w:pPr>
        <w:spacing w:line="360" w:lineRule="auto"/>
        <w:ind w:firstLine="452" w:firstLineChars="200"/>
        <w:rPr>
          <w:rFonts w:asciiTheme="minorEastAsia" w:hAnsiTheme="minorEastAsia"/>
          <w:spacing w:val="8"/>
          <w:szCs w:val="21"/>
        </w:rPr>
      </w:pPr>
      <w:r>
        <w:rPr>
          <w:rFonts w:hint="eastAsia" w:asciiTheme="minorEastAsia" w:hAnsiTheme="minorEastAsia"/>
          <w:spacing w:val="8"/>
          <w:szCs w:val="21"/>
        </w:rPr>
        <w:t>（2）科学设岗。根据</w:t>
      </w:r>
      <w:r>
        <w:rPr>
          <w:rFonts w:asciiTheme="minorEastAsia" w:hAnsiTheme="minorEastAsia"/>
          <w:spacing w:val="8"/>
          <w:szCs w:val="21"/>
        </w:rPr>
        <w:t>国务院法制办公室关于公布《事业单位人事管理条例（征求意见稿）》公开征求意见的通知</w:t>
      </w:r>
      <w:r>
        <w:rPr>
          <w:rFonts w:hint="eastAsia" w:asciiTheme="minorEastAsia" w:hAnsiTheme="minorEastAsia"/>
          <w:spacing w:val="8"/>
          <w:szCs w:val="21"/>
        </w:rPr>
        <w:t>，在完成</w:t>
      </w:r>
      <w:r>
        <w:rPr>
          <w:rFonts w:asciiTheme="minorEastAsia" w:hAnsiTheme="minorEastAsia"/>
          <w:spacing w:val="8"/>
          <w:szCs w:val="21"/>
        </w:rPr>
        <w:t>岗位</w:t>
      </w:r>
      <w:r>
        <w:rPr>
          <w:rFonts w:hint="eastAsia" w:asciiTheme="minorEastAsia" w:hAnsiTheme="minorEastAsia"/>
          <w:spacing w:val="8"/>
          <w:szCs w:val="21"/>
        </w:rPr>
        <w:t>聘用工作完成的基础上，对原来的岗位系数进行了进一步调整与优化，使得更加有利于事业的可持续、科学发展。</w:t>
      </w:r>
    </w:p>
    <w:p>
      <w:pPr>
        <w:spacing w:line="360" w:lineRule="auto"/>
        <w:ind w:firstLine="452" w:firstLineChars="200"/>
        <w:rPr>
          <w:rFonts w:asciiTheme="minorEastAsia" w:hAnsiTheme="minorEastAsia"/>
          <w:spacing w:val="8"/>
          <w:szCs w:val="21"/>
        </w:rPr>
      </w:pPr>
      <w:r>
        <w:rPr>
          <w:rFonts w:hint="eastAsia" w:asciiTheme="minorEastAsia" w:hAnsiTheme="minorEastAsia"/>
          <w:spacing w:val="8"/>
          <w:szCs w:val="21"/>
        </w:rPr>
        <w:t>（3）选树典型。2</w:t>
      </w:r>
      <w:r>
        <w:rPr>
          <w:rFonts w:asciiTheme="minorEastAsia" w:hAnsiTheme="minorEastAsia"/>
          <w:spacing w:val="8"/>
          <w:szCs w:val="21"/>
        </w:rPr>
        <w:t>0</w:t>
      </w:r>
      <w:r>
        <w:rPr>
          <w:rFonts w:hint="eastAsia" w:asciiTheme="minorEastAsia" w:hAnsiTheme="minorEastAsia"/>
          <w:spacing w:val="8"/>
          <w:szCs w:val="21"/>
        </w:rPr>
        <w:t>20年度考核时，我馆共有25名员工被考评为馆内表扬、局先</w:t>
      </w:r>
    </w:p>
    <w:p>
      <w:pPr>
        <w:spacing w:line="360" w:lineRule="auto"/>
        <w:rPr>
          <w:rFonts w:asciiTheme="minorEastAsia" w:hAnsiTheme="minorEastAsia"/>
          <w:spacing w:val="8"/>
          <w:szCs w:val="21"/>
        </w:rPr>
      </w:pPr>
      <w:r>
        <w:rPr>
          <w:rFonts w:hint="eastAsia" w:asciiTheme="minorEastAsia" w:hAnsiTheme="minorEastAsia"/>
          <w:spacing w:val="8"/>
          <w:szCs w:val="21"/>
        </w:rPr>
        <w:t>进、区嘉奖等，占全馆职工总人数的38</w:t>
      </w:r>
      <w:r>
        <w:rPr>
          <w:rFonts w:asciiTheme="minorEastAsia" w:hAnsiTheme="minorEastAsia"/>
          <w:spacing w:val="8"/>
          <w:szCs w:val="21"/>
        </w:rPr>
        <w:t>%</w:t>
      </w:r>
      <w:r>
        <w:rPr>
          <w:rFonts w:hint="eastAsia" w:asciiTheme="minorEastAsia" w:hAnsiTheme="minorEastAsia"/>
          <w:spacing w:val="8"/>
          <w:szCs w:val="21"/>
        </w:rPr>
        <w:t>，其中局先进12人，区嘉奖6人，派遣制员工（政府雇员）4人，占比16</w:t>
      </w:r>
      <w:r>
        <w:rPr>
          <w:rFonts w:asciiTheme="minorEastAsia" w:hAnsiTheme="minorEastAsia"/>
          <w:spacing w:val="8"/>
          <w:szCs w:val="21"/>
        </w:rPr>
        <w:t>%</w:t>
      </w:r>
      <w:r>
        <w:rPr>
          <w:rFonts w:hint="eastAsia" w:asciiTheme="minorEastAsia" w:hAnsiTheme="minorEastAsia"/>
          <w:spacing w:val="8"/>
          <w:szCs w:val="21"/>
        </w:rPr>
        <w:t>。此结果在“闵图文明之窗”公布公示，以示鼓励，激励全馆职工向先进学习，勇于奉献，努力工作，再创佳绩。</w:t>
      </w:r>
    </w:p>
    <w:tbl>
      <w:tblPr>
        <w:tblStyle w:val="7"/>
        <w:tblpPr w:leftFromText="180" w:rightFromText="180" w:vertAnchor="page" w:horzAnchor="margin" w:tblpXSpec="center" w:tblpY="96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trPr>
        <w:tc>
          <w:tcPr>
            <w:tcW w:w="6912" w:type="dxa"/>
            <w:shd w:val="clear" w:color="auto" w:fill="auto"/>
            <w:vAlign w:val="center"/>
          </w:tcPr>
          <w:p>
            <w:pPr>
              <w:spacing w:line="360" w:lineRule="auto"/>
              <w:jc w:val="center"/>
              <w:rPr>
                <w:rFonts w:asciiTheme="minorEastAsia" w:hAnsiTheme="minorEastAsia"/>
                <w:spacing w:val="8"/>
                <w:szCs w:val="21"/>
              </w:rPr>
            </w:pPr>
            <w:r>
              <w:rPr>
                <w:rFonts w:asciiTheme="minorEastAsia" w:hAnsiTheme="minorEastAsia"/>
                <w:spacing w:val="8"/>
                <w:szCs w:val="21"/>
              </w:rPr>
              <w:drawing>
                <wp:inline distT="0" distB="0" distL="0" distR="0">
                  <wp:extent cx="3279140" cy="1793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0635" cy="179444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12" w:type="dxa"/>
            <w:shd w:val="clear" w:color="auto" w:fill="auto"/>
          </w:tcPr>
          <w:p>
            <w:pPr>
              <w:spacing w:line="360" w:lineRule="auto"/>
              <w:jc w:val="center"/>
              <w:rPr>
                <w:rFonts w:asciiTheme="minorEastAsia" w:hAnsiTheme="minorEastAsia"/>
                <w:spacing w:val="8"/>
                <w:szCs w:val="21"/>
              </w:rPr>
            </w:pPr>
            <w:r>
              <w:rPr>
                <w:rFonts w:hint="eastAsia" w:asciiTheme="minorEastAsia" w:hAnsiTheme="minorEastAsia"/>
                <w:spacing w:val="8"/>
                <w:szCs w:val="21"/>
              </w:rPr>
              <w:t>2020年闵行区图书馆考核评优结果公示</w:t>
            </w:r>
          </w:p>
          <w:p>
            <w:pPr>
              <w:spacing w:line="360" w:lineRule="auto"/>
              <w:jc w:val="center"/>
              <w:rPr>
                <w:rFonts w:asciiTheme="minorEastAsia" w:hAnsiTheme="minorEastAsia"/>
                <w:spacing w:val="8"/>
                <w:szCs w:val="21"/>
              </w:rPr>
            </w:pPr>
            <w:r>
              <w:rPr>
                <w:rFonts w:hint="eastAsia" w:asciiTheme="minorEastAsia" w:hAnsiTheme="minorEastAsia"/>
                <w:spacing w:val="8"/>
                <w:szCs w:val="21"/>
              </w:rPr>
              <w:t>（闵图文明之窗截图）</w:t>
            </w:r>
          </w:p>
        </w:tc>
      </w:tr>
    </w:tbl>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ind w:firstLine="420" w:firstLineChars="200"/>
        <w:rPr>
          <w:rFonts w:ascii="微软雅黑" w:hAnsi="微软雅黑" w:eastAsia="微软雅黑"/>
          <w:b/>
          <w:szCs w:val="21"/>
        </w:rPr>
      </w:pPr>
    </w:p>
    <w:p>
      <w:pPr>
        <w:spacing w:line="360" w:lineRule="auto"/>
        <w:rPr>
          <w:rFonts w:ascii="微软雅黑" w:hAnsi="微软雅黑" w:eastAsia="微软雅黑"/>
          <w:b/>
          <w:szCs w:val="21"/>
        </w:rPr>
      </w:pPr>
      <w:r>
        <w:rPr>
          <w:rFonts w:ascii="微软雅黑" w:hAnsi="微软雅黑" w:eastAsia="微软雅黑"/>
          <w:b/>
          <w:szCs w:val="21"/>
        </w:rPr>
        <w:t>4</w:t>
      </w:r>
      <w:r>
        <w:rPr>
          <w:rFonts w:hint="eastAsia" w:ascii="微软雅黑" w:hAnsi="微软雅黑" w:eastAsia="微软雅黑"/>
          <w:b/>
          <w:szCs w:val="21"/>
        </w:rPr>
        <w:t>、劳动保护：注重教育防范第一</w:t>
      </w:r>
    </w:p>
    <w:p>
      <w:pPr>
        <w:spacing w:line="360" w:lineRule="auto"/>
        <w:ind w:firstLine="452" w:firstLineChars="200"/>
        <w:rPr>
          <w:rFonts w:asciiTheme="minorEastAsia" w:hAnsiTheme="minorEastAsia"/>
          <w:szCs w:val="21"/>
        </w:rPr>
      </w:pPr>
      <w:r>
        <w:rPr>
          <w:rFonts w:hint="eastAsia" w:asciiTheme="minorEastAsia" w:hAnsiTheme="minorEastAsia"/>
          <w:spacing w:val="8"/>
          <w:szCs w:val="21"/>
        </w:rPr>
        <w:t>图</w:t>
      </w:r>
      <w:r>
        <w:rPr>
          <w:rFonts w:hint="eastAsia" w:asciiTheme="minorEastAsia" w:hAnsiTheme="minorEastAsia"/>
          <w:szCs w:val="21"/>
        </w:rPr>
        <w:t>书馆向来是人员密集的场所，属于消防和治安的重点单位。针对这一特点，长期以来，我馆领导非常重视、狠抓落实,主要采取了以下措施：</w:t>
      </w:r>
    </w:p>
    <w:p>
      <w:pPr>
        <w:spacing w:line="360" w:lineRule="auto"/>
        <w:ind w:firstLine="420" w:firstLineChars="200"/>
        <w:rPr>
          <w:rFonts w:asciiTheme="minorEastAsia" w:hAnsiTheme="minorEastAsia"/>
          <w:szCs w:val="21"/>
        </w:rPr>
      </w:pPr>
      <w:r>
        <w:rPr>
          <w:rFonts w:hint="eastAsia" w:asciiTheme="minorEastAsia" w:hAnsiTheme="minorEastAsia"/>
          <w:szCs w:val="21"/>
        </w:rPr>
        <w:t>（1）建立制度。本馆领导与上级主管部门签订《安全保卫目标责任书》，根据目标责任书要求，制定消防、安全等相关应急预案和应急处置办法、门禁卡管理使用规定，日常对安保有相应的记录，层层分解，责任到人，在读者服务区域专门设立安全值班岗，建立相应安全检查机制。尤其在2020年疫情期间，本馆采用预约制入馆方式，严格控制入馆人数，做好疫情防控工作。</w:t>
      </w:r>
    </w:p>
    <w:p>
      <w:pPr>
        <w:spacing w:line="360" w:lineRule="auto"/>
        <w:ind w:firstLine="420" w:firstLineChars="200"/>
        <w:rPr>
          <w:rFonts w:asciiTheme="minorEastAsia" w:hAnsiTheme="minorEastAsia"/>
          <w:szCs w:val="21"/>
        </w:rPr>
      </w:pPr>
      <w:r>
        <w:rPr>
          <w:rFonts w:hint="eastAsia" w:asciiTheme="minorEastAsia" w:hAnsiTheme="minorEastAsia"/>
          <w:szCs w:val="21"/>
        </w:rPr>
        <w:t>（2）注重宣传。各项制度除了在网上“馆务公开”栏目进行宣传外，每年邀请消防专业人员来馆介绍安全知识。同时，与辖区派出所、春申文化广场保障部、物业紧密联系，及时通报安全等方面的信息，对重点场所、重点对象加强防范。</w:t>
      </w:r>
    </w:p>
    <w:p>
      <w:pPr>
        <w:spacing w:line="360" w:lineRule="auto"/>
        <w:ind w:firstLine="420" w:firstLineChars="200"/>
        <w:rPr>
          <w:rFonts w:asciiTheme="minorEastAsia" w:hAnsiTheme="minorEastAsia"/>
          <w:szCs w:val="21"/>
        </w:rPr>
      </w:pPr>
      <w:r>
        <w:rPr>
          <w:rFonts w:hint="eastAsia" w:asciiTheme="minorEastAsia" w:hAnsiTheme="minorEastAsia"/>
          <w:szCs w:val="21"/>
        </w:rPr>
        <w:t>（3）重视教育。通过对职工的培训教育，加强对读者区域的巡逻力度，发现可疑情况，及时与物业保安进行沟通。年中开展消防演练，并积极参与闵行区创全工作，查找存在的问题，消除存在的安全隐患，整改在文明服务方面的不足。同时，在阅览室、自修室等处，设置贵重物品保管提示牌，提高读者防偷防盗意识。2020年本馆无任何重大安全事故发生。</w:t>
      </w:r>
    </w:p>
    <w:p>
      <w:pPr>
        <w:spacing w:line="360" w:lineRule="auto"/>
        <w:ind w:firstLine="412" w:firstLineChars="196"/>
        <w:rPr>
          <w:rFonts w:ascii="微软雅黑" w:hAnsi="微软雅黑" w:eastAsia="微软雅黑"/>
          <w:b/>
          <w:szCs w:val="21"/>
        </w:rPr>
      </w:pPr>
      <w:r>
        <w:rPr>
          <w:rFonts w:hint="eastAsia" w:ascii="微软雅黑" w:hAnsi="微软雅黑" w:eastAsia="微软雅黑"/>
          <w:b/>
          <w:szCs w:val="21"/>
        </w:rPr>
        <w:t>（二）遵纪守法廉洁自律，树立闵图诚信形象</w:t>
      </w:r>
    </w:p>
    <w:p>
      <w:pPr>
        <w:spacing w:line="360" w:lineRule="auto"/>
        <w:ind w:firstLine="420" w:firstLineChars="200"/>
        <w:rPr>
          <w:rFonts w:asciiTheme="minorEastAsia" w:hAnsiTheme="minorEastAsia"/>
          <w:szCs w:val="21"/>
        </w:rPr>
      </w:pPr>
      <w:r>
        <w:rPr>
          <w:rFonts w:hint="eastAsia" w:asciiTheme="minorEastAsia" w:hAnsiTheme="minorEastAsia"/>
          <w:szCs w:val="21"/>
        </w:rPr>
        <w:t>作为一个公共文化事业单位，本馆个人信用评价等级为A</w:t>
      </w:r>
      <w:r>
        <w:rPr>
          <w:rFonts w:asciiTheme="minorEastAsia" w:hAnsiTheme="minorEastAsia"/>
          <w:szCs w:val="21"/>
        </w:rPr>
        <w:t>AA</w:t>
      </w:r>
      <w:r>
        <w:rPr>
          <w:rFonts w:hint="eastAsia" w:asciiTheme="minorEastAsia" w:hAnsiTheme="minorEastAsia"/>
          <w:szCs w:val="21"/>
        </w:rPr>
        <w:t>，企业信用等级A</w:t>
      </w:r>
      <w:r>
        <w:rPr>
          <w:rFonts w:asciiTheme="minorEastAsia" w:hAnsiTheme="minorEastAsia"/>
          <w:szCs w:val="21"/>
        </w:rPr>
        <w:t>AA</w:t>
      </w:r>
      <w:r>
        <w:rPr>
          <w:rFonts w:hint="eastAsia" w:asciiTheme="minorEastAsia" w:hAnsiTheme="minorEastAsia"/>
          <w:szCs w:val="21"/>
        </w:rPr>
        <w:t>，诚信度信用评价等级为1级，1</w:t>
      </w:r>
      <w:r>
        <w:rPr>
          <w:rFonts w:asciiTheme="minorEastAsia" w:hAnsiTheme="minorEastAsia"/>
          <w:szCs w:val="21"/>
        </w:rPr>
        <w:t>00</w:t>
      </w:r>
      <w:r>
        <w:rPr>
          <w:rFonts w:hint="eastAsia" w:asciiTheme="minorEastAsia" w:hAnsiTheme="minorEastAsia"/>
          <w:szCs w:val="21"/>
        </w:rPr>
        <w:t>分（本数据源于上海诚信网）。</w:t>
      </w:r>
    </w:p>
    <w:p>
      <w:pPr>
        <w:spacing w:line="360" w:lineRule="auto"/>
        <w:ind w:firstLine="422" w:firstLineChars="200"/>
        <w:rPr>
          <w:rFonts w:asciiTheme="minorEastAsia" w:hAnsiTheme="minorEastAsia"/>
          <w:spacing w:val="8"/>
          <w:kern w:val="0"/>
          <w:szCs w:val="21"/>
        </w:rPr>
      </w:pPr>
      <w:r>
        <w:rPr>
          <w:rFonts w:hint="eastAsia" w:asciiTheme="minorEastAsia" w:hAnsiTheme="minorEastAsia"/>
          <w:b/>
          <w:szCs w:val="21"/>
        </w:rPr>
        <w:t>1、加强守法诚信。</w:t>
      </w:r>
      <w:r>
        <w:rPr>
          <w:rFonts w:hint="eastAsia" w:asciiTheme="minorEastAsia" w:hAnsiTheme="minorEastAsia"/>
          <w:szCs w:val="21"/>
        </w:rPr>
        <w:t>遵纪守法、明礼诚信是每个公民的基本要求。</w:t>
      </w:r>
      <w:r>
        <w:rPr>
          <w:rFonts w:asciiTheme="minorEastAsia" w:hAnsiTheme="minorEastAsia"/>
          <w:szCs w:val="21"/>
        </w:rPr>
        <w:t>公共图书馆是精神文明建设的重要窗口，</w:t>
      </w:r>
      <w:r>
        <w:rPr>
          <w:rFonts w:hint="eastAsia" w:asciiTheme="minorEastAsia" w:hAnsiTheme="minorEastAsia"/>
          <w:szCs w:val="21"/>
        </w:rPr>
        <w:t>我们每年通过各种形式，积极开展个人品德、社会公德、家庭美德、职业道德教育，以诚信为本，积极履行社会主义核心价值观。为此，党政班子成员首先带</w:t>
      </w:r>
      <w:r>
        <w:rPr>
          <w:rFonts w:hint="eastAsia" w:asciiTheme="minorEastAsia" w:hAnsiTheme="minorEastAsia"/>
          <w:spacing w:val="8"/>
          <w:kern w:val="0"/>
          <w:szCs w:val="21"/>
        </w:rPr>
        <w:t>头学法守法用法，要求职工在读者服务过程中，树立文明服务意识，加强道德感与责任感，恪守“一视同仁，耐心细致，及时快捷，想方设法”的行业服务承诺，不断完善图书馆的守法诚信体系。</w:t>
      </w:r>
    </w:p>
    <w:p>
      <w:pPr>
        <w:widowControl/>
        <w:spacing w:line="360" w:lineRule="auto"/>
        <w:ind w:firstLine="517" w:firstLineChars="245"/>
        <w:jc w:val="left"/>
        <w:rPr>
          <w:rFonts w:cs="宋体" w:asciiTheme="minorEastAsia" w:hAnsiTheme="minorEastAsia"/>
          <w:kern w:val="0"/>
          <w:szCs w:val="21"/>
        </w:rPr>
      </w:pPr>
      <w:r>
        <w:rPr>
          <w:rFonts w:hint="eastAsia" w:asciiTheme="minorEastAsia" w:hAnsiTheme="minorEastAsia"/>
          <w:b/>
          <w:szCs w:val="21"/>
        </w:rPr>
        <w:t>2、推进廉政建设。</w:t>
      </w:r>
      <w:r>
        <w:rPr>
          <w:rFonts w:hint="eastAsia" w:cs="宋体" w:asciiTheme="minorEastAsia" w:hAnsiTheme="minorEastAsia"/>
          <w:kern w:val="0"/>
          <w:szCs w:val="21"/>
        </w:rPr>
        <w:t>图书馆按照《闵行</w:t>
      </w:r>
      <w:r>
        <w:rPr>
          <w:rFonts w:hint="eastAsia" w:asciiTheme="minorEastAsia" w:hAnsiTheme="minorEastAsia"/>
          <w:spacing w:val="8"/>
          <w:szCs w:val="21"/>
        </w:rPr>
        <w:t>区文广局2020年</w:t>
      </w:r>
      <w:r>
        <w:rPr>
          <w:rFonts w:hint="eastAsia" w:cs="宋体" w:asciiTheme="minorEastAsia" w:hAnsiTheme="minorEastAsia"/>
          <w:kern w:val="0"/>
          <w:szCs w:val="21"/>
        </w:rPr>
        <w:t>度党风廉政建设责任书》要求，明确目标，落实责任。主要体现在以下“三个方面”：</w:t>
      </w:r>
    </w:p>
    <w:p>
      <w:pPr>
        <w:spacing w:line="360" w:lineRule="auto"/>
        <w:ind w:firstLine="420" w:firstLineChars="200"/>
        <w:rPr>
          <w:rFonts w:asciiTheme="minorEastAsia" w:hAnsiTheme="minorEastAsia"/>
          <w:szCs w:val="21"/>
        </w:rPr>
      </w:pPr>
      <w:r>
        <w:rPr>
          <w:rFonts w:hint="eastAsia" w:asciiTheme="minorEastAsia" w:hAnsiTheme="minorEastAsia"/>
          <w:szCs w:val="21"/>
        </w:rPr>
        <w:t>（1）领导高度重视，明确责任要求。建立图书馆廉政建设领导小组，党政做到分工明确，责任到人。树立“一岗双责”责任意识，落实好职责范围内的党风廉政建设和反腐倡廉的各项工作任务。</w:t>
      </w:r>
    </w:p>
    <w:p>
      <w:pPr>
        <w:spacing w:line="360" w:lineRule="auto"/>
        <w:ind w:firstLine="420" w:firstLineChars="200"/>
        <w:rPr>
          <w:rFonts w:asciiTheme="minorEastAsia" w:hAnsiTheme="minorEastAsia"/>
          <w:szCs w:val="21"/>
        </w:rPr>
      </w:pPr>
      <w:r>
        <w:rPr>
          <w:rFonts w:hint="eastAsia" w:asciiTheme="minorEastAsia" w:hAnsiTheme="minorEastAsia"/>
          <w:szCs w:val="21"/>
        </w:rPr>
        <w:t>（2）完善制度建设，强化内部管理。坚持贯彻民主集中制原则，建立健全制度，加强内部管理。如：《党风建设责任制实施细则》、《图书馆执行“三重一大”制度的实施细则》、《馆务公开实施方案》、《党务公开实施方案》、《职工政治学习制度》、《关于闵行区图书馆公务用车使用的暂行规定》等。凡涉及“三重一大”事项都经过集体讨论作出决定，做到民主、科学决策。</w:t>
      </w:r>
    </w:p>
    <w:p>
      <w:pPr>
        <w:spacing w:line="360" w:lineRule="auto"/>
        <w:ind w:firstLine="420" w:firstLineChars="200"/>
        <w:rPr>
          <w:rFonts w:asciiTheme="minorEastAsia" w:hAnsiTheme="minorEastAsia"/>
          <w:szCs w:val="21"/>
        </w:rPr>
      </w:pPr>
      <w:r>
        <w:rPr>
          <w:rFonts w:hint="eastAsia" w:asciiTheme="minorEastAsia" w:hAnsiTheme="minorEastAsia"/>
          <w:szCs w:val="21"/>
        </w:rPr>
        <w:t>（3）借助网络平台，推进反腐倡廉。通过“闵图支部园地”局域网，开设“党风廉政”、“制度建设”、“党务公开”、“馆务公开”栏目，由专人负责上传党风廉政建设方面知识与内容，加强普及宣传。支部建立《谈话制度》，主要针对新提拔的班子、中层、后备干部、行使公权力岗位、新入党成员不定期开展廉洁自律谈心活动。</w:t>
      </w:r>
    </w:p>
    <w:p>
      <w:pPr>
        <w:spacing w:line="360" w:lineRule="auto"/>
        <w:ind w:firstLine="422" w:firstLineChars="200"/>
        <w:rPr>
          <w:rFonts w:asciiTheme="minorEastAsia" w:hAnsiTheme="minorEastAsia"/>
          <w:szCs w:val="21"/>
        </w:rPr>
      </w:pPr>
      <w:r>
        <w:rPr>
          <w:rFonts w:hint="eastAsia" w:asciiTheme="minorEastAsia" w:hAnsiTheme="minorEastAsia"/>
          <w:b/>
          <w:szCs w:val="21"/>
        </w:rPr>
        <w:t>3、开展诚信服务。</w:t>
      </w:r>
      <w:r>
        <w:rPr>
          <w:rFonts w:asciiTheme="minorEastAsia" w:hAnsiTheme="minorEastAsia"/>
          <w:szCs w:val="21"/>
        </w:rPr>
        <w:t>为了树立良好的公众形象，强化内部管理，有效提高服务质量</w:t>
      </w:r>
      <w:r>
        <w:rPr>
          <w:rFonts w:hint="eastAsia" w:asciiTheme="minorEastAsia" w:hAnsiTheme="minorEastAsia"/>
          <w:szCs w:val="21"/>
        </w:rPr>
        <w:t>，本馆积极开展诚信服务</w:t>
      </w:r>
      <w:r>
        <w:rPr>
          <w:rFonts w:asciiTheme="minorEastAsia" w:hAnsiTheme="minorEastAsia"/>
          <w:szCs w:val="21"/>
        </w:rPr>
        <w:t>，</w:t>
      </w:r>
      <w:r>
        <w:rPr>
          <w:rFonts w:hint="eastAsia" w:asciiTheme="minorEastAsia" w:hAnsiTheme="minorEastAsia"/>
          <w:szCs w:val="21"/>
        </w:rPr>
        <w:t>形成与读者互动的诚信服务机制。</w:t>
      </w:r>
    </w:p>
    <w:p>
      <w:pPr>
        <w:spacing w:line="360" w:lineRule="auto"/>
        <w:ind w:firstLine="420" w:firstLineChars="200"/>
        <w:rPr>
          <w:rFonts w:asciiTheme="minorEastAsia" w:hAnsiTheme="minorEastAsia"/>
          <w:szCs w:val="21"/>
        </w:rPr>
      </w:pPr>
      <w:r>
        <w:rPr>
          <w:rFonts w:hint="eastAsia" w:asciiTheme="minorEastAsia" w:hAnsiTheme="minorEastAsia"/>
          <w:szCs w:val="21"/>
        </w:rPr>
        <w:t>（1）读者投诉反馈机制。畅通投诉渠道，在窗口一线设立“意见箱（意见簿）”，在网上建立“馆长信箱”，通过海报、楼宇电视、微博等渠道公开行业监督提示信息。并出台了《</w:t>
      </w:r>
      <w:r>
        <w:rPr>
          <w:rFonts w:asciiTheme="minorEastAsia" w:hAnsiTheme="minorEastAsia"/>
          <w:szCs w:val="21"/>
        </w:rPr>
        <w:t>关于闵行区图书馆</w:t>
      </w:r>
      <w:r>
        <w:rPr>
          <w:rFonts w:hint="eastAsia" w:asciiTheme="minorEastAsia" w:hAnsiTheme="minorEastAsia"/>
          <w:szCs w:val="21"/>
        </w:rPr>
        <w:t>“</w:t>
      </w:r>
      <w:r>
        <w:rPr>
          <w:rFonts w:asciiTheme="minorEastAsia" w:hAnsiTheme="minorEastAsia"/>
          <w:szCs w:val="21"/>
        </w:rPr>
        <w:t>树立公众形象，提高服务质量</w:t>
      </w:r>
      <w:r>
        <w:rPr>
          <w:rFonts w:hint="eastAsia" w:asciiTheme="minorEastAsia" w:hAnsiTheme="minorEastAsia"/>
          <w:szCs w:val="21"/>
        </w:rPr>
        <w:t>”</w:t>
      </w:r>
      <w:r>
        <w:rPr>
          <w:rFonts w:asciiTheme="minorEastAsia" w:hAnsiTheme="minorEastAsia"/>
          <w:szCs w:val="21"/>
        </w:rPr>
        <w:t>的实施意见</w:t>
      </w:r>
      <w:r>
        <w:rPr>
          <w:rFonts w:hint="eastAsia" w:asciiTheme="minorEastAsia" w:hAnsiTheme="minorEastAsia"/>
          <w:szCs w:val="21"/>
        </w:rPr>
        <w:t>》。</w:t>
      </w:r>
    </w:p>
    <w:p>
      <w:pPr>
        <w:spacing w:line="360" w:lineRule="auto"/>
        <w:ind w:firstLine="420" w:firstLineChars="200"/>
        <w:rPr>
          <w:rFonts w:asciiTheme="minorEastAsia" w:hAnsiTheme="minorEastAsia"/>
          <w:szCs w:val="21"/>
        </w:rPr>
      </w:pPr>
      <w:r>
        <w:rPr>
          <w:rFonts w:hint="eastAsia" w:asciiTheme="minorEastAsia" w:hAnsiTheme="minorEastAsia"/>
          <w:szCs w:val="21"/>
        </w:rPr>
        <w:t>（2）员工岗位规范机制。制定岗位规范，在窗口一线接待读者，统一规范用语，如接电话时说：您好，闵行区图书馆；读者咨询时说：读者您好；借完书时说：请拿好读者证和借书单等等。同时，制订《闵图“四要四不要”》岗位规范，从仪表、语言、举止、服务等方面，对员工提出更高要求。</w:t>
      </w:r>
    </w:p>
    <w:p>
      <w:pPr>
        <w:spacing w:line="360" w:lineRule="auto"/>
        <w:ind w:firstLine="420" w:firstLineChars="200"/>
        <w:rPr>
          <w:rFonts w:asciiTheme="minorEastAsia" w:hAnsiTheme="minorEastAsia"/>
          <w:szCs w:val="21"/>
        </w:rPr>
      </w:pPr>
      <w:r>
        <w:rPr>
          <w:rFonts w:hint="eastAsia" w:asciiTheme="minorEastAsia" w:hAnsiTheme="minorEastAsia"/>
          <w:szCs w:val="21"/>
        </w:rPr>
        <w:t>（3）读者队伍监督机制。以公共图书馆行业文明检查及行政效能建设为抓手，在长期探索与实践的基础上，本馆形成了一套行之有效的读者监督机制。每月都会有读者监督员对本馆服务工作进行文明监督，对检查中反映的问题提出整改建议，定期反馈给窗口部门，并要求他们监督整改实施全过程。</w:t>
      </w:r>
    </w:p>
    <w:p>
      <w:pPr>
        <w:widowControl/>
        <w:spacing w:line="360" w:lineRule="auto"/>
        <w:ind w:firstLine="517" w:firstLineChars="245"/>
        <w:jc w:val="left"/>
        <w:rPr>
          <w:rFonts w:asciiTheme="minorEastAsia" w:hAnsiTheme="minorEastAsia"/>
          <w:szCs w:val="21"/>
        </w:rPr>
      </w:pPr>
      <w:r>
        <w:rPr>
          <w:rFonts w:hint="eastAsia" w:asciiTheme="minorEastAsia" w:hAnsiTheme="minorEastAsia"/>
          <w:b/>
          <w:szCs w:val="21"/>
        </w:rPr>
        <w:t>4、社会效益显著。</w:t>
      </w:r>
      <w:r>
        <w:rPr>
          <w:rFonts w:hint="eastAsia" w:asciiTheme="minorEastAsia" w:hAnsiTheme="minorEastAsia"/>
          <w:szCs w:val="21"/>
        </w:rPr>
        <w:t>在全体职工共同努力下，图书馆公益服务效益良好，在业界以及闵行区文化系统取得非常好的成效。同时，本馆为公益性文化事业单位，报告期内按时为员工交纳各项社保费用，职工收入按国家政策规定发放。</w:t>
      </w:r>
    </w:p>
    <w:p>
      <w:pPr>
        <w:adjustRightInd w:val="0"/>
        <w:snapToGrid w:val="0"/>
        <w:spacing w:line="360" w:lineRule="auto"/>
        <w:ind w:firstLine="482"/>
        <w:rPr>
          <w:rFonts w:ascii="微软雅黑" w:hAnsi="微软雅黑" w:eastAsia="微软雅黑"/>
          <w:b/>
          <w:szCs w:val="21"/>
        </w:rPr>
      </w:pPr>
      <w:r>
        <w:rPr>
          <w:rFonts w:hint="eastAsia" w:ascii="微软雅黑" w:hAnsi="微软雅黑" w:eastAsia="微软雅黑"/>
          <w:b/>
          <w:szCs w:val="21"/>
        </w:rPr>
        <w:t>（三）文化支援扶贫帮困，同创共建合作共赢</w:t>
      </w:r>
    </w:p>
    <w:p>
      <w:pPr>
        <w:spacing w:line="360" w:lineRule="auto"/>
        <w:ind w:firstLine="422" w:firstLineChars="200"/>
        <w:rPr>
          <w:rFonts w:asciiTheme="minorEastAsia" w:hAnsiTheme="minorEastAsia"/>
          <w:szCs w:val="21"/>
        </w:rPr>
      </w:pPr>
      <w:r>
        <w:rPr>
          <w:rFonts w:hint="eastAsia" w:asciiTheme="minorEastAsia" w:hAnsiTheme="minorEastAsia"/>
          <w:b/>
          <w:szCs w:val="21"/>
        </w:rPr>
        <w:t>1、参与文明共建。</w:t>
      </w:r>
      <w:r>
        <w:rPr>
          <w:rFonts w:hint="eastAsia" w:asciiTheme="minorEastAsia" w:hAnsiTheme="minorEastAsia"/>
          <w:szCs w:val="21"/>
        </w:rPr>
        <w:t>2020年度文明创建期间，在区文旅局及莘庄镇文明办指导下，积极参与区域创建联盟，配合做好创建各项工作，并在各项检查与考核中，成绩得到上级肯定。这两年，我馆保持与区政协、区检察院、黎安二村、阳光园等单位的共建关系，共同致力于文明单位、文明社区创建方面的工作交流，为共建对象建立图书室、电子书借阅等提供帮助。同时，本馆深度参与共建对象阳光园的文明创建活动，2020年度创建期内先后与其合作开展活动2次，为社区居委提供图书外借、赠阅期刊、垃圾分类、文明宣传等志愿服务。</w:t>
      </w:r>
    </w:p>
    <w:p>
      <w:pPr>
        <w:spacing w:line="360" w:lineRule="auto"/>
        <w:ind w:firstLine="420" w:firstLineChars="200"/>
        <w:rPr>
          <w:rFonts w:asciiTheme="minorEastAsia" w:hAnsiTheme="minorEastAsia"/>
          <w:szCs w:val="21"/>
        </w:rPr>
      </w:pPr>
      <w:r>
        <w:rPr>
          <w:rFonts w:hint="eastAsia" w:asciiTheme="minorEastAsia" w:hAnsiTheme="minorEastAsia"/>
          <w:szCs w:val="21"/>
        </w:rPr>
        <w:t>此外，在本馆设立上海信息管理学校实习基地，每年安排一定数量的学生到本馆岗位实习。与区法宣办的合作。向市民普及法律知识、开展法治宣传、提供法律事务帮助，坚持每周六1</w:t>
      </w:r>
      <w:r>
        <w:rPr>
          <w:rFonts w:asciiTheme="minorEastAsia" w:hAnsiTheme="minorEastAsia"/>
          <w:szCs w:val="21"/>
        </w:rPr>
        <w:t>3</w:t>
      </w:r>
      <w:r>
        <w:rPr>
          <w:rFonts w:hint="eastAsia" w:asciiTheme="minorEastAsia" w:hAnsiTheme="minorEastAsia"/>
          <w:szCs w:val="21"/>
        </w:rPr>
        <w:t>：0</w:t>
      </w:r>
      <w:r>
        <w:rPr>
          <w:rFonts w:asciiTheme="minorEastAsia" w:hAnsiTheme="minorEastAsia"/>
          <w:szCs w:val="21"/>
        </w:rPr>
        <w:t>0-15</w:t>
      </w:r>
      <w:r>
        <w:rPr>
          <w:rFonts w:hint="eastAsia" w:asciiTheme="minorEastAsia" w:hAnsiTheme="minorEastAsia"/>
          <w:szCs w:val="21"/>
        </w:rPr>
        <w:t>：0</w:t>
      </w:r>
      <w:r>
        <w:rPr>
          <w:rFonts w:asciiTheme="minorEastAsia" w:hAnsiTheme="minorEastAsia"/>
          <w:szCs w:val="21"/>
        </w:rPr>
        <w:t>0</w:t>
      </w:r>
      <w:r>
        <w:rPr>
          <w:rFonts w:hint="eastAsia" w:asciiTheme="minorEastAsia" w:hAnsiTheme="minorEastAsia"/>
          <w:szCs w:val="21"/>
        </w:rPr>
        <w:t>举办读者法律咨询服务。</w:t>
      </w:r>
    </w:p>
    <w:p>
      <w:pPr>
        <w:spacing w:line="360" w:lineRule="auto"/>
        <w:ind w:firstLine="420" w:firstLineChars="200"/>
        <w:rPr>
          <w:rFonts w:asciiTheme="minorEastAsia" w:hAnsiTheme="minorEastAsia"/>
          <w:szCs w:val="21"/>
        </w:rPr>
      </w:pPr>
      <w:r>
        <w:rPr>
          <w:rFonts w:hint="eastAsia" w:asciiTheme="minorEastAsia" w:hAnsiTheme="minorEastAsia"/>
          <w:szCs w:val="21"/>
        </w:rPr>
        <w:t>创建期内，社区对本馆参与区域化党建、文明共建、社区联建等工作表示非常满意，都纷纷表示将继续与本馆保持良好的共建关系，满意度1</w:t>
      </w:r>
      <w:r>
        <w:rPr>
          <w:rFonts w:asciiTheme="minorEastAsia" w:hAnsiTheme="minorEastAsia"/>
          <w:szCs w:val="21"/>
        </w:rPr>
        <w:t>00%</w:t>
      </w:r>
      <w:r>
        <w:rPr>
          <w:rFonts w:hint="eastAsia" w:asciiTheme="minorEastAsia" w:hAnsiTheme="minorEastAsia"/>
          <w:szCs w:val="21"/>
        </w:rPr>
        <w:t>。</w:t>
      </w:r>
    </w:p>
    <w:tbl>
      <w:tblPr>
        <w:tblStyle w:val="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adjustRightInd w:val="0"/>
              <w:snapToGrid w:val="0"/>
              <w:spacing w:line="360" w:lineRule="auto"/>
              <w:jc w:val="center"/>
              <w:rPr>
                <w:rFonts w:asciiTheme="minorEastAsia" w:hAnsiTheme="minorEastAsia"/>
                <w:spacing w:val="8"/>
                <w:kern w:val="0"/>
                <w:szCs w:val="21"/>
              </w:rPr>
            </w:pPr>
            <w:r>
              <w:rPr>
                <w:rFonts w:asciiTheme="minorEastAsia" w:hAnsiTheme="minorEastAsia"/>
                <w:spacing w:val="8"/>
                <w:kern w:val="0"/>
                <w:szCs w:val="21"/>
              </w:rPr>
              <w:drawing>
                <wp:inline distT="0" distB="0" distL="0" distR="0">
                  <wp:extent cx="2139315" cy="1424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351" cy="1425343"/>
                          </a:xfrm>
                          <a:prstGeom prst="rect">
                            <a:avLst/>
                          </a:prstGeom>
                          <a:noFill/>
                          <a:ln>
                            <a:noFill/>
                          </a:ln>
                        </pic:spPr>
                      </pic:pic>
                    </a:graphicData>
                  </a:graphic>
                </wp:inline>
              </w:drawing>
            </w:r>
          </w:p>
        </w:tc>
        <w:tc>
          <w:tcPr>
            <w:tcW w:w="4167" w:type="dxa"/>
            <w:shd w:val="clear" w:color="auto" w:fill="auto"/>
            <w:vAlign w:val="center"/>
          </w:tcPr>
          <w:p>
            <w:pPr>
              <w:adjustRightInd w:val="0"/>
              <w:snapToGrid w:val="0"/>
              <w:spacing w:line="360" w:lineRule="auto"/>
              <w:jc w:val="center"/>
              <w:rPr>
                <w:rFonts w:asciiTheme="minorEastAsia" w:hAnsiTheme="minorEastAsia"/>
                <w:spacing w:val="8"/>
                <w:kern w:val="0"/>
                <w:szCs w:val="21"/>
              </w:rPr>
            </w:pPr>
            <w:r>
              <w:rPr>
                <w:rFonts w:asciiTheme="minorEastAsia" w:hAnsiTheme="minorEastAsia"/>
                <w:spacing w:val="8"/>
                <w:kern w:val="0"/>
                <w:szCs w:val="21"/>
              </w:rPr>
              <w:drawing>
                <wp:inline distT="0" distB="0" distL="0" distR="0">
                  <wp:extent cx="2130425" cy="1419225"/>
                  <wp:effectExtent l="0" t="0" r="317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8520" cy="14247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shd w:val="clear" w:color="auto" w:fill="auto"/>
            <w:vAlign w:val="center"/>
          </w:tcPr>
          <w:p>
            <w:pPr>
              <w:spacing w:line="360" w:lineRule="auto"/>
              <w:jc w:val="center"/>
              <w:rPr>
                <w:rFonts w:asciiTheme="minorEastAsia" w:hAnsiTheme="minorEastAsia"/>
                <w:bCs/>
                <w:color w:val="000000"/>
                <w:szCs w:val="21"/>
                <w:shd w:val="clear" w:color="auto" w:fill="FFFFFF"/>
              </w:rPr>
            </w:pPr>
            <w:r>
              <w:rPr>
                <w:rFonts w:hint="eastAsia" w:asciiTheme="minorEastAsia" w:hAnsiTheme="minorEastAsia"/>
                <w:spacing w:val="8"/>
                <w:szCs w:val="21"/>
              </w:rPr>
              <w:t>参加阳光园志愿者活动</w:t>
            </w:r>
          </w:p>
        </w:tc>
        <w:tc>
          <w:tcPr>
            <w:tcW w:w="4167" w:type="dxa"/>
            <w:shd w:val="clear" w:color="auto" w:fill="auto"/>
            <w:vAlign w:val="bottom"/>
          </w:tcPr>
          <w:p>
            <w:pPr>
              <w:adjustRightInd w:val="0"/>
              <w:snapToGrid w:val="0"/>
              <w:spacing w:line="360" w:lineRule="auto"/>
              <w:jc w:val="center"/>
              <w:rPr>
                <w:rFonts w:asciiTheme="minorEastAsia" w:hAnsiTheme="minorEastAsia"/>
                <w:bCs/>
                <w:color w:val="000000"/>
                <w:szCs w:val="21"/>
                <w:shd w:val="clear" w:color="auto" w:fill="FFFFFF"/>
              </w:rPr>
            </w:pPr>
            <w:r>
              <w:rPr>
                <w:rFonts w:hint="eastAsia" w:asciiTheme="minorEastAsia" w:hAnsiTheme="minorEastAsia"/>
                <w:spacing w:val="8"/>
                <w:szCs w:val="21"/>
              </w:rPr>
              <w:t>参加阳光园志愿者活动</w:t>
            </w:r>
          </w:p>
        </w:tc>
      </w:tr>
    </w:tbl>
    <w:p>
      <w:pPr>
        <w:spacing w:line="360" w:lineRule="auto"/>
        <w:ind w:firstLine="422" w:firstLineChars="200"/>
        <w:rPr>
          <w:rFonts w:asciiTheme="minorEastAsia" w:hAnsiTheme="minorEastAsia"/>
          <w:szCs w:val="21"/>
        </w:rPr>
      </w:pPr>
      <w:r>
        <w:rPr>
          <w:rFonts w:hint="eastAsia" w:asciiTheme="minorEastAsia" w:hAnsiTheme="minorEastAsia"/>
          <w:b/>
          <w:szCs w:val="21"/>
        </w:rPr>
        <w:t>2、注重志愿服务。</w:t>
      </w:r>
      <w:r>
        <w:rPr>
          <w:rFonts w:hint="eastAsia" w:asciiTheme="minorEastAsia" w:hAnsiTheme="minorEastAsia"/>
          <w:szCs w:val="21"/>
        </w:rPr>
        <w:t>作为一个公益性文化事业机构，我馆非常重视志愿服务工作，全馆职工全员注册为志愿者，员工和党员注册1</w:t>
      </w:r>
      <w:r>
        <w:rPr>
          <w:rFonts w:asciiTheme="minorEastAsia" w:hAnsiTheme="minorEastAsia"/>
          <w:szCs w:val="21"/>
        </w:rPr>
        <w:t>00%</w:t>
      </w:r>
      <w:r>
        <w:rPr>
          <w:rFonts w:hint="eastAsia" w:asciiTheme="minorEastAsia" w:hAnsiTheme="minorEastAsia"/>
          <w:szCs w:val="21"/>
        </w:rPr>
        <w:t>，创建期内参与志愿活动的员工9</w:t>
      </w:r>
      <w:r>
        <w:rPr>
          <w:rFonts w:asciiTheme="minorEastAsia" w:hAnsiTheme="minorEastAsia"/>
          <w:szCs w:val="21"/>
        </w:rPr>
        <w:t>5%</w:t>
      </w:r>
      <w:r>
        <w:rPr>
          <w:rFonts w:hint="eastAsia" w:asciiTheme="minorEastAsia" w:hAnsiTheme="minorEastAsia"/>
          <w:szCs w:val="21"/>
        </w:rPr>
        <w:t>以上。</w:t>
      </w:r>
    </w:p>
    <w:p>
      <w:pPr>
        <w:spacing w:line="360" w:lineRule="auto"/>
        <w:ind w:firstLine="420" w:firstLineChars="200"/>
        <w:rPr>
          <w:rFonts w:asciiTheme="minorEastAsia" w:hAnsiTheme="minorEastAsia"/>
          <w:szCs w:val="21"/>
        </w:rPr>
      </w:pPr>
      <w:r>
        <w:rPr>
          <w:rFonts w:hint="eastAsia" w:asciiTheme="minorEastAsia" w:hAnsiTheme="minorEastAsia"/>
          <w:szCs w:val="21"/>
        </w:rPr>
        <w:t>我们除了积极开展面向社区、监狱、部队等志愿服务活动外，本馆还积极组织“绿叶助学志愿服务队”，深入开展了各项志愿服务，主要体现在以下“四个方面”：（1）加强学校合作。主动联系中小学校，让学校组织学生参加图书馆的“小小志愿者”，倡导文明阅读。（2）实施“工学交替”。 与上海信息管理学校加强共建合作，开展“工学交替”活动。（3）组建志愿队伍。“绿叶助学”志愿队贯彻“奉献、友爱、互助、进步”的志愿服务理念，积极投入到图书馆的各项服务和活动中。（4）开展交通志愿。开展文明志愿者活动，参与文明城区建设。</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0"/>
        <w:gridCol w:w="4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shd w:val="clear" w:color="auto" w:fill="auto"/>
            <w:vAlign w:val="center"/>
          </w:tcPr>
          <w:p>
            <w:pPr>
              <w:spacing w:line="360" w:lineRule="auto"/>
              <w:jc w:val="center"/>
              <w:rPr>
                <w:rFonts w:asciiTheme="minorEastAsia" w:hAnsiTheme="minorEastAsia"/>
                <w:szCs w:val="21"/>
              </w:rPr>
            </w:pPr>
            <w:r>
              <w:rPr>
                <w:rFonts w:asciiTheme="minorEastAsia" w:hAnsiTheme="minorEastAsia"/>
                <w:szCs w:val="21"/>
              </w:rPr>
              <w:drawing>
                <wp:inline distT="0" distB="0" distL="0" distR="0">
                  <wp:extent cx="1379855" cy="1913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0227" cy="1913919"/>
                          </a:xfrm>
                          <a:prstGeom prst="rect">
                            <a:avLst/>
                          </a:prstGeom>
                          <a:noFill/>
                          <a:ln>
                            <a:noFill/>
                          </a:ln>
                        </pic:spPr>
                      </pic:pic>
                    </a:graphicData>
                  </a:graphic>
                </wp:inline>
              </w:drawing>
            </w:r>
          </w:p>
        </w:tc>
        <w:tc>
          <w:tcPr>
            <w:tcW w:w="4112" w:type="dxa"/>
            <w:shd w:val="clear" w:color="auto" w:fill="auto"/>
            <w:vAlign w:val="center"/>
          </w:tcPr>
          <w:p>
            <w:pPr>
              <w:spacing w:line="360" w:lineRule="auto"/>
              <w:jc w:val="center"/>
              <w:rPr>
                <w:rFonts w:asciiTheme="minorEastAsia" w:hAnsiTheme="minorEastAsia"/>
                <w:szCs w:val="21"/>
              </w:rPr>
            </w:pPr>
            <w:r>
              <w:rPr>
                <w:rFonts w:asciiTheme="minorEastAsia" w:hAnsiTheme="minorEastAsia"/>
                <w:szCs w:val="21"/>
              </w:rPr>
              <w:drawing>
                <wp:inline distT="0" distB="0" distL="0" distR="0">
                  <wp:extent cx="1440180" cy="192024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0772" cy="194769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shd w:val="clear" w:color="auto" w:fill="auto"/>
            <w:vAlign w:val="center"/>
          </w:tcPr>
          <w:p>
            <w:pPr>
              <w:spacing w:line="360" w:lineRule="auto"/>
              <w:jc w:val="center"/>
              <w:rPr>
                <w:rFonts w:asciiTheme="minorEastAsia" w:hAnsiTheme="minorEastAsia"/>
                <w:szCs w:val="21"/>
              </w:rPr>
            </w:pPr>
            <w:r>
              <w:rPr>
                <w:rFonts w:hint="eastAsia" w:asciiTheme="minorEastAsia" w:hAnsiTheme="minorEastAsia"/>
                <w:szCs w:val="21"/>
              </w:rPr>
              <w:t>文明交通志愿活动之一</w:t>
            </w:r>
          </w:p>
        </w:tc>
        <w:tc>
          <w:tcPr>
            <w:tcW w:w="4112" w:type="dxa"/>
            <w:shd w:val="clear" w:color="auto" w:fill="auto"/>
            <w:vAlign w:val="center"/>
          </w:tcPr>
          <w:p>
            <w:pPr>
              <w:spacing w:line="360" w:lineRule="auto"/>
              <w:jc w:val="center"/>
              <w:rPr>
                <w:rFonts w:asciiTheme="minorEastAsia" w:hAnsiTheme="minorEastAsia"/>
                <w:szCs w:val="21"/>
              </w:rPr>
            </w:pPr>
            <w:r>
              <w:rPr>
                <w:rFonts w:hint="eastAsia" w:asciiTheme="minorEastAsia" w:hAnsiTheme="minorEastAsia"/>
                <w:szCs w:val="21"/>
              </w:rPr>
              <w:t>新冠疫情一线防控志愿活动之一</w:t>
            </w:r>
          </w:p>
        </w:tc>
      </w:tr>
    </w:tbl>
    <w:p>
      <w:pPr>
        <w:spacing w:line="360" w:lineRule="auto"/>
        <w:ind w:firstLine="422" w:firstLineChars="200"/>
        <w:rPr>
          <w:rFonts w:asciiTheme="minorEastAsia" w:hAnsiTheme="minorEastAsia"/>
          <w:szCs w:val="21"/>
        </w:rPr>
      </w:pPr>
      <w:r>
        <w:rPr>
          <w:rFonts w:asciiTheme="minorEastAsia" w:hAnsiTheme="minorEastAsia"/>
          <w:b/>
          <w:szCs w:val="21"/>
        </w:rPr>
        <w:t>3</w:t>
      </w:r>
      <w:r>
        <w:rPr>
          <w:rFonts w:hint="eastAsia" w:asciiTheme="minorEastAsia" w:hAnsiTheme="minorEastAsia"/>
          <w:b/>
          <w:szCs w:val="21"/>
        </w:rPr>
        <w:t>、积极救灾捐助。</w:t>
      </w:r>
      <w:r>
        <w:rPr>
          <w:rFonts w:hint="eastAsia" w:asciiTheme="minorEastAsia" w:hAnsiTheme="minorEastAsia"/>
          <w:szCs w:val="21"/>
        </w:rPr>
        <w:t>本馆热心公益，除了在本馆提供日常的便民服务措施、提供便民用品外，还积极参与各种救灾捐助，平时还向社会各界尤其是对口扶贫地区提供力所能及的文化援助。</w:t>
      </w:r>
    </w:p>
    <w:p>
      <w:pPr>
        <w:spacing w:line="360" w:lineRule="auto"/>
        <w:ind w:firstLine="420" w:firstLineChars="200"/>
        <w:rPr>
          <w:rFonts w:asciiTheme="minorEastAsia" w:hAnsiTheme="minorEastAsia"/>
          <w:szCs w:val="21"/>
        </w:rPr>
      </w:pPr>
      <w:r>
        <w:rPr>
          <w:rFonts w:hint="eastAsia" w:asciiTheme="minorEastAsia" w:hAnsiTheme="minorEastAsia"/>
          <w:szCs w:val="21"/>
        </w:rPr>
        <w:t>（1）拥军送书。坚持每年为闵行区辖区驻地部队送书上门。</w:t>
      </w:r>
    </w:p>
    <w:p>
      <w:pPr>
        <w:spacing w:line="360" w:lineRule="auto"/>
        <w:ind w:firstLine="420" w:firstLineChars="200"/>
        <w:rPr>
          <w:rFonts w:asciiTheme="minorEastAsia" w:hAnsiTheme="minorEastAsia"/>
          <w:szCs w:val="21"/>
        </w:rPr>
      </w:pPr>
      <w:r>
        <w:rPr>
          <w:rFonts w:hint="eastAsia" w:asciiTheme="minorEastAsia" w:hAnsiTheme="minorEastAsia"/>
          <w:szCs w:val="21"/>
        </w:rPr>
        <w:t>（</w:t>
      </w:r>
      <w:r>
        <w:rPr>
          <w:rFonts w:asciiTheme="minorEastAsia" w:hAnsiTheme="minorEastAsia"/>
          <w:szCs w:val="21"/>
        </w:rPr>
        <w:t>2</w:t>
      </w:r>
      <w:r>
        <w:rPr>
          <w:rFonts w:hint="eastAsia" w:asciiTheme="minorEastAsia" w:hAnsiTheme="minorEastAsia"/>
          <w:szCs w:val="21"/>
        </w:rPr>
        <w:t>）文化援助。我馆</w:t>
      </w:r>
      <w:r>
        <w:rPr>
          <w:rFonts w:asciiTheme="minorEastAsia" w:hAnsiTheme="minorEastAsia"/>
          <w:szCs w:val="21"/>
        </w:rPr>
        <w:t>与闵行对外合作交流办签订了合作框架，由它们统一操作，将本馆</w:t>
      </w:r>
      <w:r>
        <w:rPr>
          <w:rFonts w:hint="eastAsia" w:asciiTheme="minorEastAsia" w:hAnsiTheme="minorEastAsia"/>
          <w:szCs w:val="21"/>
        </w:rPr>
        <w:t>下架的</w:t>
      </w:r>
      <w:r>
        <w:rPr>
          <w:rFonts w:asciiTheme="minorEastAsia" w:hAnsiTheme="minorEastAsia"/>
          <w:szCs w:val="21"/>
        </w:rPr>
        <w:t>图书，分别</w:t>
      </w:r>
      <w:r>
        <w:rPr>
          <w:rFonts w:hint="eastAsia" w:asciiTheme="minorEastAsia" w:hAnsiTheme="minorEastAsia"/>
          <w:szCs w:val="21"/>
        </w:rPr>
        <w:t>捐赠给</w:t>
      </w:r>
      <w:r>
        <w:rPr>
          <w:rFonts w:asciiTheme="minorEastAsia" w:hAnsiTheme="minorEastAsia"/>
          <w:szCs w:val="21"/>
        </w:rPr>
        <w:t>新疆和云南</w:t>
      </w:r>
      <w:r>
        <w:rPr>
          <w:rFonts w:hint="eastAsia" w:asciiTheme="minorEastAsia" w:hAnsiTheme="minorEastAsia"/>
          <w:szCs w:val="21"/>
        </w:rPr>
        <w:t>对口扶贫地区</w:t>
      </w:r>
      <w:r>
        <w:rPr>
          <w:rFonts w:asciiTheme="minorEastAsia" w:hAnsiTheme="minorEastAsia"/>
          <w:szCs w:val="21"/>
        </w:rPr>
        <w:t>进行文化援助。</w:t>
      </w:r>
    </w:p>
    <w:p>
      <w:pPr>
        <w:spacing w:line="360" w:lineRule="auto"/>
        <w:ind w:firstLine="420" w:firstLineChars="200"/>
        <w:rPr>
          <w:rFonts w:asciiTheme="minorEastAsia" w:hAnsiTheme="minorEastAsia"/>
          <w:szCs w:val="21"/>
        </w:rPr>
      </w:pPr>
      <w:r>
        <w:rPr>
          <w:rFonts w:hint="eastAsia" w:asciiTheme="minorEastAsia" w:hAnsiTheme="minorEastAsia"/>
          <w:szCs w:val="21"/>
        </w:rPr>
        <w:t>（</w:t>
      </w:r>
      <w:r>
        <w:rPr>
          <w:rFonts w:asciiTheme="minorEastAsia" w:hAnsiTheme="minorEastAsia"/>
          <w:szCs w:val="21"/>
        </w:rPr>
        <w:t>3</w:t>
      </w:r>
      <w:r>
        <w:rPr>
          <w:rFonts w:hint="eastAsia" w:asciiTheme="minorEastAsia" w:hAnsiTheme="minorEastAsia"/>
          <w:szCs w:val="21"/>
        </w:rPr>
        <w:t>）爱心捐赠。同行手拉手，为武汉图书馆捐赠抗疫防护物资。我馆积极响应市图书馆行业协会倡议，购置价值</w:t>
      </w:r>
      <w:r>
        <w:rPr>
          <w:rFonts w:asciiTheme="minorEastAsia" w:hAnsiTheme="minorEastAsia"/>
          <w:szCs w:val="21"/>
        </w:rPr>
        <w:t>4460</w:t>
      </w:r>
      <w:r>
        <w:rPr>
          <w:rFonts w:hint="eastAsia" w:asciiTheme="minorEastAsia" w:hAnsiTheme="minorEastAsia"/>
          <w:szCs w:val="21"/>
        </w:rPr>
        <w:t>元的防护眼镜、手套、消毒用品等，无偿捐赠给武汉，为武汉人民献一份爱心。</w:t>
      </w:r>
    </w:p>
    <w:p>
      <w:pPr>
        <w:spacing w:line="360" w:lineRule="auto"/>
        <w:ind w:firstLine="480"/>
        <w:rPr>
          <w:rFonts w:ascii="微软雅黑" w:hAnsi="微软雅黑" w:eastAsia="微软雅黑"/>
          <w:b/>
          <w:szCs w:val="21"/>
        </w:rPr>
      </w:pPr>
      <w:r>
        <w:rPr>
          <w:rFonts w:hint="eastAsia" w:ascii="微软雅黑" w:hAnsi="微软雅黑" w:eastAsia="微软雅黑"/>
          <w:b/>
          <w:szCs w:val="21"/>
        </w:rPr>
        <w:t>4、助力疫情防控</w:t>
      </w:r>
    </w:p>
    <w:p>
      <w:pPr>
        <w:spacing w:line="360" w:lineRule="auto"/>
        <w:ind w:firstLine="420" w:firstLineChars="200"/>
        <w:rPr>
          <w:rFonts w:asciiTheme="minorEastAsia" w:hAnsiTheme="minorEastAsia"/>
          <w:szCs w:val="21"/>
        </w:rPr>
      </w:pPr>
      <w:r>
        <w:rPr>
          <w:rFonts w:hint="eastAsia" w:asciiTheme="minorEastAsia" w:hAnsiTheme="minorEastAsia"/>
          <w:szCs w:val="21"/>
        </w:rPr>
        <w:t>（1）高度重视，做好疫情防控全员参与。及时采购发放防疫物资，为员工参与社区联防联控工作保驾护航；及时将上级会议精神及工作要点传达到每一个员工，使得上下齐心，众志成城。</w:t>
      </w:r>
    </w:p>
    <w:p>
      <w:pPr>
        <w:spacing w:line="360" w:lineRule="auto"/>
        <w:ind w:firstLine="420" w:firstLineChars="200"/>
        <w:rPr>
          <w:rFonts w:asciiTheme="minorEastAsia" w:hAnsiTheme="minorEastAsia"/>
          <w:szCs w:val="21"/>
        </w:rPr>
      </w:pPr>
      <w:r>
        <w:rPr>
          <w:rFonts w:hint="eastAsia" w:asciiTheme="minorEastAsia" w:hAnsiTheme="minorEastAsia"/>
          <w:szCs w:val="21"/>
        </w:rPr>
        <w:t>（2）精心组织，做好社区防控精准精细。领导带头，分组分批，明确责任，对接吴泾三个社区疫情联控任务，要求每一位员工热情、细致、耐心，充分展现展示图书馆员的服务精神与人文价值，为社区疫情防控尽图书馆人的最大努力。</w:t>
      </w:r>
    </w:p>
    <w:p>
      <w:pPr>
        <w:spacing w:line="360" w:lineRule="auto"/>
        <w:ind w:firstLine="420" w:firstLineChars="200"/>
        <w:rPr>
          <w:rFonts w:asciiTheme="minorEastAsia" w:hAnsiTheme="minorEastAsia"/>
          <w:szCs w:val="21"/>
        </w:rPr>
      </w:pPr>
      <w:r>
        <w:rPr>
          <w:rFonts w:hint="eastAsia" w:asciiTheme="minorEastAsia" w:hAnsiTheme="minorEastAsia"/>
          <w:szCs w:val="21"/>
        </w:rPr>
        <w:t>（3）体现责任担当，组织职工参与全区重点防控区域志愿服务。我馆青年馆员先后参与虹桥火车站、虹桥机场、浦东机场疫情防控3批4人次。</w:t>
      </w:r>
    </w:p>
    <w:p>
      <w:pPr>
        <w:spacing w:line="360" w:lineRule="auto"/>
        <w:ind w:firstLine="480"/>
        <w:rPr>
          <w:rFonts w:ascii="微软雅黑" w:hAnsi="微软雅黑" w:eastAsia="微软雅黑"/>
          <w:b/>
          <w:szCs w:val="21"/>
        </w:rPr>
      </w:pPr>
      <w:r>
        <w:rPr>
          <w:rFonts w:hint="eastAsia" w:ascii="微软雅黑" w:hAnsi="微软雅黑" w:eastAsia="微软雅黑"/>
          <w:b/>
          <w:szCs w:val="21"/>
        </w:rPr>
        <w:t>（四）积极倡导厉行节约，展现绿色文明形象</w:t>
      </w:r>
    </w:p>
    <w:p>
      <w:pPr>
        <w:adjustRightInd w:val="0"/>
        <w:snapToGrid w:val="0"/>
        <w:spacing w:line="360" w:lineRule="auto"/>
        <w:ind w:firstLine="525" w:firstLineChars="249"/>
        <w:rPr>
          <w:rFonts w:asciiTheme="minorEastAsia" w:hAnsiTheme="minorEastAsia"/>
          <w:szCs w:val="21"/>
        </w:rPr>
      </w:pPr>
      <w:r>
        <w:rPr>
          <w:rFonts w:hint="eastAsia" w:asciiTheme="minorEastAsia" w:hAnsiTheme="minorEastAsia"/>
          <w:b/>
          <w:szCs w:val="21"/>
        </w:rPr>
        <w:t>1、加强环境管理。</w:t>
      </w:r>
      <w:r>
        <w:rPr>
          <w:rFonts w:hint="eastAsia" w:asciiTheme="minorEastAsia" w:hAnsiTheme="minorEastAsia"/>
          <w:szCs w:val="21"/>
        </w:rPr>
        <w:t>营造绿色环境是每一个公民的职责。每年，我馆与上级主管部门签订《爱国卫生目标责任书》，同时根据《闵行区图书馆卫生防疫制度》、《闵行区图书馆应急处置办法》等规章制度，在环境优化方面做到管理严格、措施到位。</w:t>
      </w:r>
    </w:p>
    <w:p>
      <w:pPr>
        <w:spacing w:line="360" w:lineRule="auto"/>
        <w:ind w:firstLine="525" w:firstLineChars="249"/>
        <w:rPr>
          <w:rFonts w:asciiTheme="minorEastAsia" w:hAnsiTheme="minorEastAsia"/>
          <w:szCs w:val="21"/>
        </w:rPr>
      </w:pPr>
      <w:r>
        <w:rPr>
          <w:rFonts w:hint="eastAsia" w:asciiTheme="minorEastAsia" w:hAnsiTheme="minorEastAsia"/>
          <w:b/>
          <w:szCs w:val="21"/>
        </w:rPr>
        <w:t>2、倡导低碳节能。</w:t>
      </w:r>
      <w:r>
        <w:rPr>
          <w:rFonts w:hint="eastAsia" w:asciiTheme="minorEastAsia" w:hAnsiTheme="minorEastAsia"/>
          <w:szCs w:val="21"/>
        </w:rPr>
        <w:t>积极创建节约型单位，制定《闵行区图书馆关于厉行节约的具体措施》，通过开展环保宣传、环境整治、节水节电、抵制白色污染等实践活动。倡导“多爬楼梯锻炼身体，少乘电梯低碳节能”环保意识，开设“闵图文明之窗”办公管理网站，实行“无纸化办公”，制作绿色环保布袋供读者使用，增强了员工环保责任，环保管理工作得有序推进。</w:t>
      </w:r>
    </w:p>
    <w:p>
      <w:pPr>
        <w:spacing w:line="360" w:lineRule="auto"/>
        <w:ind w:firstLine="422" w:firstLineChars="200"/>
        <w:rPr>
          <w:rFonts w:asciiTheme="minorEastAsia" w:hAnsiTheme="minorEastAsia"/>
          <w:szCs w:val="21"/>
        </w:rPr>
      </w:pPr>
      <w:r>
        <w:rPr>
          <w:rFonts w:hint="eastAsia" w:asciiTheme="minorEastAsia" w:hAnsiTheme="minorEastAsia"/>
          <w:b/>
          <w:szCs w:val="21"/>
        </w:rPr>
        <w:t>3、树立环保形象。</w:t>
      </w:r>
      <w:r>
        <w:rPr>
          <w:rFonts w:hint="eastAsia" w:asciiTheme="minorEastAsia" w:hAnsiTheme="minorEastAsia"/>
          <w:szCs w:val="21"/>
        </w:rPr>
        <w:t>2010年搬入新馆时，经环保部门专业检测，新图书馆内部环境检测指标完全合格。近几年在环境保护方面，无任何不良记录。本馆认真贯彻落实《上海市控烟条例》，在馆区张贴禁烟标志，营造宣传氛围，严禁员工和读者在馆区吸烟，积极创建无烟单位。物业保洁人员工作负责到位，实行垃圾分类集中处理，环境、卫生达标，全馆职工为塑造闵图环保良好形象发挥应有作用。</w:t>
      </w:r>
    </w:p>
    <w:p>
      <w:pPr>
        <w:spacing w:line="360" w:lineRule="auto"/>
        <w:ind w:firstLine="420" w:firstLineChars="200"/>
        <w:rPr>
          <w:rFonts w:ascii="微软雅黑" w:hAnsi="微软雅黑" w:eastAsia="微软雅黑"/>
          <w:b/>
          <w:szCs w:val="21"/>
        </w:rPr>
      </w:pPr>
      <w:r>
        <w:rPr>
          <w:rFonts w:hint="eastAsia" w:ascii="微软雅黑" w:hAnsi="微软雅黑" w:eastAsia="微软雅黑"/>
          <w:b/>
          <w:szCs w:val="21"/>
        </w:rPr>
        <w:t>三、预期与展望</w:t>
      </w:r>
    </w:p>
    <w:p>
      <w:pPr>
        <w:spacing w:line="360" w:lineRule="auto"/>
        <w:ind w:firstLine="420" w:firstLineChars="200"/>
        <w:rPr>
          <w:rFonts w:asciiTheme="minorEastAsia" w:hAnsiTheme="minorEastAsia"/>
          <w:szCs w:val="21"/>
        </w:rPr>
      </w:pPr>
      <w:r>
        <w:rPr>
          <w:rFonts w:hint="eastAsia" w:asciiTheme="minorEastAsia" w:hAnsiTheme="minorEastAsia"/>
          <w:szCs w:val="21"/>
        </w:rPr>
        <w:t>作为一个连续多年市文明单位，在上级主管部门的领导与支持下，在全体同仁的共同努力下，图书馆事业发展良好，取得很好的成绩，广大读者对图书馆服务感到非常满意。接下来，我们还要在以下四个方面“下功夫”：</w:t>
      </w:r>
    </w:p>
    <w:p>
      <w:pPr>
        <w:spacing w:line="360" w:lineRule="auto"/>
        <w:ind w:firstLine="422" w:firstLineChars="200"/>
        <w:rPr>
          <w:rFonts w:asciiTheme="minorEastAsia" w:hAnsiTheme="minorEastAsia"/>
          <w:szCs w:val="21"/>
        </w:rPr>
      </w:pPr>
      <w:r>
        <w:rPr>
          <w:rFonts w:hint="eastAsia" w:asciiTheme="minorEastAsia" w:hAnsiTheme="minorEastAsia"/>
          <w:b/>
          <w:szCs w:val="21"/>
        </w:rPr>
        <w:t>（一）夯实基础工作，在提升文明服务新高度上下功夫。</w:t>
      </w:r>
      <w:r>
        <w:rPr>
          <w:rFonts w:hint="eastAsia" w:asciiTheme="minorEastAsia" w:hAnsiTheme="minorEastAsia"/>
          <w:szCs w:val="21"/>
        </w:rPr>
        <w:t>以积极争创上海市文明单位、创全国文明城区为契机，在提高图书馆社交能力上下功夫，</w:t>
      </w:r>
      <w:r>
        <w:rPr>
          <w:rFonts w:asciiTheme="minorEastAsia" w:hAnsiTheme="minorEastAsia"/>
          <w:szCs w:val="21"/>
        </w:rPr>
        <w:t>内强素质，外树形象，全面建设一支高素质干部职工队伍</w:t>
      </w:r>
      <w:r>
        <w:rPr>
          <w:rFonts w:hint="eastAsia" w:asciiTheme="minorEastAsia" w:hAnsiTheme="minorEastAsia"/>
          <w:szCs w:val="21"/>
        </w:rPr>
        <w:t>，提升社会公众对图书馆的满意度和向心力，努力把文明服务提升到新高度。</w:t>
      </w:r>
    </w:p>
    <w:p>
      <w:pPr>
        <w:spacing w:line="360" w:lineRule="auto"/>
        <w:ind w:firstLine="413" w:firstLineChars="196"/>
        <w:rPr>
          <w:rFonts w:asciiTheme="minorEastAsia" w:hAnsiTheme="minorEastAsia"/>
          <w:szCs w:val="21"/>
        </w:rPr>
      </w:pPr>
      <w:r>
        <w:rPr>
          <w:rFonts w:hint="eastAsia" w:asciiTheme="minorEastAsia" w:hAnsiTheme="minorEastAsia"/>
          <w:b/>
          <w:szCs w:val="21"/>
        </w:rPr>
        <w:t>（二）坚持公益方向，在展示文明窗口新形象上下功夫。</w:t>
      </w:r>
      <w:r>
        <w:rPr>
          <w:rFonts w:hint="eastAsia" w:asciiTheme="minorEastAsia" w:hAnsiTheme="minorEastAsia"/>
          <w:szCs w:val="21"/>
        </w:rPr>
        <w:t>公共图书馆是精神文明建设的重要的窗口，为广大市民开展公益服务，是图书馆应尽的职责和发挥的作用，而展示文明窗口新形象是重中之重。在为文化惠民、推进公共文化服务建设的同时，扩大了社会辐射面和影响力，努力在展示文明窗口新形象上下功夫。</w:t>
      </w:r>
    </w:p>
    <w:p>
      <w:pPr>
        <w:spacing w:line="360" w:lineRule="auto"/>
        <w:ind w:firstLine="420" w:firstLineChars="199"/>
        <w:rPr>
          <w:rFonts w:asciiTheme="minorEastAsia" w:hAnsiTheme="minorEastAsia"/>
          <w:szCs w:val="21"/>
        </w:rPr>
      </w:pPr>
      <w:r>
        <w:rPr>
          <w:rFonts w:hint="eastAsia" w:asciiTheme="minorEastAsia" w:hAnsiTheme="minorEastAsia"/>
          <w:b/>
          <w:color w:val="000000"/>
          <w:szCs w:val="21"/>
        </w:rPr>
        <w:t>（三）规范职业道德，在提高文明队伍新风貌上下功夫。</w:t>
      </w:r>
      <w:r>
        <w:rPr>
          <w:rFonts w:hint="eastAsia" w:asciiTheme="minorEastAsia" w:hAnsiTheme="minorEastAsia"/>
          <w:szCs w:val="21"/>
        </w:rPr>
        <w:t>人是推动事业发展的关键因素。坚持职业道德建设，加强员工岗位规范，注重政治思想教育，提升员工整体素质，增进团队的凝聚力，在提高文明队伍新风貌上下功夫。</w:t>
      </w:r>
    </w:p>
    <w:p>
      <w:pPr>
        <w:spacing w:line="360" w:lineRule="auto"/>
        <w:ind w:firstLine="316" w:firstLineChars="150"/>
        <w:rPr>
          <w:rFonts w:asciiTheme="minorEastAsia" w:hAnsiTheme="minorEastAsia"/>
          <w:szCs w:val="21"/>
        </w:rPr>
      </w:pPr>
      <w:r>
        <w:rPr>
          <w:rFonts w:hint="eastAsia" w:asciiTheme="minorEastAsia" w:hAnsiTheme="minorEastAsia"/>
          <w:b/>
          <w:color w:val="000000"/>
          <w:szCs w:val="21"/>
        </w:rPr>
        <w:t>（四）强化管理意识，在引领文明行业新示范上下功夫。</w:t>
      </w:r>
      <w:r>
        <w:rPr>
          <w:rFonts w:hint="eastAsia" w:asciiTheme="minorEastAsia" w:hAnsiTheme="minorEastAsia"/>
          <w:szCs w:val="21"/>
        </w:rPr>
        <w:t>有序的内部管理是促进事业健康发展的有力保障。强化管理意识，营造宣传氛围，丰富载体基础，树立良好形象，塑造优美环境，优化馆风馆貌，进一步增强员工的责任感和竞争力，在引领文明行业新示范上下功夫。</w:t>
      </w: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ind w:firstLine="315" w:firstLineChars="150"/>
        <w:rPr>
          <w:rFonts w:asciiTheme="minorEastAsia" w:hAnsiTheme="minorEastAsia"/>
          <w:szCs w:val="21"/>
        </w:rPr>
      </w:pPr>
    </w:p>
    <w:p>
      <w:pPr>
        <w:spacing w:line="360" w:lineRule="auto"/>
        <w:jc w:val="center"/>
        <w:rPr>
          <w:rFonts w:asciiTheme="minorEastAsia" w:hAnsiTheme="minorEastAsia"/>
          <w:szCs w:val="21"/>
        </w:rPr>
      </w:pPr>
      <w:r>
        <w:rPr>
          <w:rFonts w:hint="eastAsia" w:ascii="微软雅黑" w:hAnsi="微软雅黑" w:eastAsia="微软雅黑"/>
          <w:b/>
          <w:sz w:val="24"/>
          <w:szCs w:val="24"/>
        </w:rPr>
        <w:t>五、工作人员及工作培训</w:t>
      </w:r>
    </w:p>
    <w:p>
      <w:pPr>
        <w:spacing w:line="360" w:lineRule="auto"/>
        <w:rPr>
          <w:rFonts w:asciiTheme="minorEastAsia" w:hAnsiTheme="minorEastAsia"/>
          <w:szCs w:val="21"/>
        </w:rPr>
      </w:pPr>
    </w:p>
    <w:p>
      <w:pPr>
        <w:spacing w:line="360" w:lineRule="auto"/>
        <w:rPr>
          <w:rFonts w:ascii="微软雅黑" w:hAnsi="微软雅黑" w:eastAsia="微软雅黑"/>
          <w:b/>
          <w:szCs w:val="21"/>
        </w:rPr>
      </w:pPr>
      <w:r>
        <w:rPr>
          <w:rFonts w:hint="eastAsia" w:ascii="微软雅黑" w:hAnsi="微软雅黑" w:eastAsia="微软雅黑"/>
          <w:b/>
          <w:szCs w:val="21"/>
        </w:rPr>
        <w:t>1. 基础信息</w:t>
      </w:r>
    </w:p>
    <w:p>
      <w:pPr>
        <w:spacing w:line="360" w:lineRule="auto"/>
        <w:rPr>
          <w:rFonts w:ascii="宋体" w:hAnsi="宋体" w:cs="宋体"/>
          <w:szCs w:val="21"/>
        </w:rPr>
      </w:pPr>
      <w:r>
        <w:rPr>
          <w:rFonts w:hint="eastAsia" w:ascii="宋体" w:hAnsi="宋体" w:cs="宋体"/>
          <w:szCs w:val="21"/>
        </w:rPr>
        <w:t>图书馆工作人员共65人；专业技术人才49人，其中中级职称28人，副高级职称6人，高级职称1人。</w:t>
      </w:r>
    </w:p>
    <w:p>
      <w:pPr>
        <w:spacing w:line="360" w:lineRule="auto"/>
        <w:rPr>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2．机构设置</w:t>
      </w:r>
    </w:p>
    <w:p>
      <w:pPr>
        <w:spacing w:line="360" w:lineRule="auto"/>
        <w:rPr>
          <w:szCs w:val="21"/>
        </w:rPr>
      </w:pPr>
      <w:r>
        <w:rPr>
          <w:rFonts w:hint="eastAsia" w:ascii="宋体" w:hAnsi="宋体"/>
          <w:b/>
          <w:sz w:val="24"/>
        </w:rPr>
        <w:drawing>
          <wp:inline distT="0" distB="0" distL="0" distR="0">
            <wp:extent cx="3667125" cy="2600325"/>
            <wp:effectExtent l="0" t="0" r="9525" b="9525"/>
            <wp:docPr id="17" name="图片 17" descr="闵行区图书馆组织机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闵行区图书馆组织机构图"/>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3791" b="96998" l="688" r="98212">
                                  <a14:foregroundMark x1="17607" y1="23381" x2="17607" y2="0"/>
                                  <a14:foregroundMark x1="6740" y1="22749" x2="6740" y2="0"/>
                                  <a14:foregroundMark x1="2338" y1="22749" x2="2338" y2="0"/>
                                  <a14:foregroundMark x1="5777" y1="38073" x2="5777" y2="0"/>
                                  <a14:foregroundMark x1="825" y1="36967" x2="825" y2="0"/>
                                  <a14:foregroundMark x1="51169" y1="4423" x2="51169" y2="0"/>
                                  <a14:foregroundMark x1="94773" y1="23381" x2="94773" y2="0"/>
                                  <a14:foregroundMark x1="98212" y1="23065" x2="98212" y2="0"/>
                                  <a14:foregroundMark x1="67263" y1="94155" x2="67263" y2="0"/>
                                  <a14:foregroundMark x1="65750" y1="96998" x2="65750"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3667125" cy="2600325"/>
                    </a:xfrm>
                    <a:prstGeom prst="rect">
                      <a:avLst/>
                    </a:prstGeom>
                    <a:noFill/>
                    <a:ln>
                      <a:noFill/>
                    </a:ln>
                  </pic:spPr>
                </pic:pic>
              </a:graphicData>
            </a:graphic>
          </wp:inline>
        </w:drawing>
      </w:r>
    </w:p>
    <w:p>
      <w:pPr>
        <w:spacing w:line="360" w:lineRule="auto"/>
        <w:rPr>
          <w:szCs w:val="21"/>
        </w:rPr>
      </w:pPr>
    </w:p>
    <w:p>
      <w:pPr>
        <w:spacing w:line="360" w:lineRule="auto"/>
        <w:rPr>
          <w:rFonts w:ascii="微软雅黑" w:hAnsi="微软雅黑" w:eastAsia="微软雅黑"/>
          <w:b/>
          <w:szCs w:val="21"/>
        </w:rPr>
      </w:pPr>
      <w:r>
        <w:rPr>
          <w:rFonts w:hint="eastAsia" w:ascii="微软雅黑" w:hAnsi="微软雅黑" w:eastAsia="微软雅黑"/>
          <w:b/>
          <w:szCs w:val="21"/>
        </w:rPr>
        <w:t>3. 工作培训</w:t>
      </w:r>
    </w:p>
    <w:p>
      <w:pPr>
        <w:spacing w:line="360" w:lineRule="auto"/>
        <w:rPr>
          <w:rFonts w:ascii="宋体" w:hAnsi="宋体" w:cs="宋体"/>
          <w:szCs w:val="21"/>
        </w:rPr>
      </w:pPr>
      <w:r>
        <w:rPr>
          <w:rFonts w:hint="eastAsia" w:ascii="宋体" w:hAnsi="宋体" w:cs="宋体"/>
          <w:szCs w:val="21"/>
        </w:rPr>
        <w:t>二〇二〇本单位参加基层培训辅导人次935人次，本单位受训45人，共计</w:t>
      </w:r>
      <w:r>
        <w:rPr>
          <w:rFonts w:ascii="宋体" w:hAnsi="宋体" w:cs="宋体"/>
          <w:szCs w:val="21"/>
        </w:rPr>
        <w:t>7102</w:t>
      </w:r>
      <w:r>
        <w:rPr>
          <w:rFonts w:hint="eastAsia" w:ascii="宋体" w:hAnsi="宋体" w:cs="宋体"/>
          <w:szCs w:val="21"/>
        </w:rPr>
        <w:t>个学时。</w:t>
      </w:r>
    </w:p>
    <w:p>
      <w:pPr>
        <w:spacing w:line="360" w:lineRule="auto"/>
        <w:rPr>
          <w:rFonts w:ascii="宋体" w:hAnsi="宋体" w:cs="宋体"/>
          <w:szCs w:val="21"/>
        </w:rPr>
      </w:pPr>
    </w:p>
    <w:p>
      <w:pPr>
        <w:spacing w:line="360" w:lineRule="auto"/>
        <w:rPr>
          <w:rFonts w:ascii="微软雅黑" w:hAnsi="微软雅黑" w:eastAsia="微软雅黑"/>
          <w:b/>
          <w:szCs w:val="21"/>
        </w:rPr>
      </w:pPr>
      <w:r>
        <w:rPr>
          <w:rFonts w:hint="eastAsia" w:ascii="微软雅黑" w:hAnsi="微软雅黑" w:eastAsia="微软雅黑"/>
          <w:b/>
          <w:szCs w:val="21"/>
        </w:rPr>
        <w:t>4. 志愿者</w:t>
      </w:r>
    </w:p>
    <w:p>
      <w:pPr>
        <w:spacing w:line="360" w:lineRule="auto"/>
        <w:rPr>
          <w:rFonts w:ascii="宋体" w:hAnsi="宋体" w:cs="宋体"/>
          <w:szCs w:val="21"/>
        </w:rPr>
      </w:pPr>
      <w:r>
        <w:rPr>
          <w:rFonts w:hint="eastAsia" w:ascii="宋体" w:hAnsi="宋体" w:cs="宋体"/>
          <w:szCs w:val="21"/>
        </w:rPr>
        <w:t>本馆志愿者队伍为“绿叶助学志愿队”，有53位志愿者参与，总计服务时间424小时。</w:t>
      </w: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rPr>
          <w:rFonts w:asciiTheme="minorEastAsia" w:hAnsiTheme="minorEastAsia"/>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六、 场地面积及设施建设</w:t>
      </w:r>
    </w:p>
    <w:p>
      <w:pPr>
        <w:spacing w:line="360" w:lineRule="auto"/>
        <w:rPr>
          <w:rFonts w:ascii="微软雅黑" w:hAnsi="微软雅黑" w:eastAsia="微软雅黑"/>
          <w:b/>
          <w:szCs w:val="21"/>
        </w:rPr>
      </w:pPr>
      <w:r>
        <w:rPr>
          <w:rFonts w:hint="eastAsia" w:ascii="微软雅黑" w:hAnsi="微软雅黑" w:eastAsia="微软雅黑"/>
          <w:b/>
          <w:szCs w:val="21"/>
        </w:rPr>
        <w:t>1. 面积汇总</w:t>
      </w:r>
    </w:p>
    <w:tbl>
      <w:tblPr>
        <w:tblStyle w:val="7"/>
        <w:tblW w:w="6060" w:type="dxa"/>
        <w:jc w:val="center"/>
        <w:tblLayout w:type="autofit"/>
        <w:tblCellMar>
          <w:top w:w="0" w:type="dxa"/>
          <w:left w:w="108" w:type="dxa"/>
          <w:bottom w:w="0" w:type="dxa"/>
          <w:right w:w="108" w:type="dxa"/>
        </w:tblCellMar>
      </w:tblPr>
      <w:tblGrid>
        <w:gridCol w:w="724"/>
        <w:gridCol w:w="2476"/>
        <w:gridCol w:w="1780"/>
        <w:gridCol w:w="10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4256" w:type="dxa"/>
            <w:gridSpan w:val="2"/>
            <w:tcBorders>
              <w:top w:val="single" w:color="auto" w:sz="8"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10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面积</w:t>
            </w:r>
          </w:p>
        </w:tc>
      </w:tr>
      <w:tr>
        <w:tblPrEx>
          <w:tblCellMar>
            <w:top w:w="0" w:type="dxa"/>
            <w:left w:w="108" w:type="dxa"/>
            <w:bottom w:w="0" w:type="dxa"/>
            <w:right w:w="108" w:type="dxa"/>
          </w:tblCellMar>
        </w:tblPrEx>
        <w:trPr>
          <w:trHeight w:val="285" w:hRule="atLeast"/>
          <w:jc w:val="center"/>
        </w:trPr>
        <w:tc>
          <w:tcPr>
            <w:tcW w:w="724" w:type="dxa"/>
            <w:vMerge w:val="restart"/>
            <w:tcBorders>
              <w:top w:val="nil"/>
              <w:left w:val="single" w:color="auto" w:sz="8"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w:t>
            </w:r>
          </w:p>
        </w:tc>
        <w:tc>
          <w:tcPr>
            <w:tcW w:w="4256" w:type="dxa"/>
            <w:gridSpan w:val="2"/>
            <w:tcBorders>
              <w:top w:val="single" w:color="auto" w:sz="4"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读者分区面积</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8,152</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restar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其中：阅览室面积</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报刊阅览室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410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少儿借阅室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727</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图书借阅室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1542</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综合阅览室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970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春申文化阅览室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298</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古籍阅览室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116</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外文阅览室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160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非物质文化遗产阅览室</w:t>
            </w:r>
          </w:p>
        </w:tc>
        <w:tc>
          <w:tcPr>
            <w:tcW w:w="10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93</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公共电子阅览室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270</w:t>
            </w:r>
          </w:p>
        </w:tc>
      </w:tr>
      <w:tr>
        <w:tblPrEx>
          <w:tblCellMar>
            <w:top w:w="0" w:type="dxa"/>
            <w:left w:w="108" w:type="dxa"/>
            <w:bottom w:w="0" w:type="dxa"/>
            <w:right w:w="108" w:type="dxa"/>
          </w:tblCellMar>
        </w:tblPrEx>
        <w:trPr>
          <w:trHeight w:val="285" w:hRule="atLeast"/>
          <w:jc w:val="center"/>
        </w:trPr>
        <w:tc>
          <w:tcPr>
            <w:tcW w:w="724" w:type="dxa"/>
            <w:vMerge w:val="continue"/>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eastAsia="宋体" w:cs="宋体"/>
                <w:color w:val="000000"/>
                <w:sz w:val="20"/>
                <w:szCs w:val="20"/>
              </w:rPr>
            </w:pPr>
          </w:p>
        </w:tc>
        <w:tc>
          <w:tcPr>
            <w:tcW w:w="2476"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eastAsia="宋体" w:cs="Tahoma"/>
                <w:color w:val="000000"/>
              </w:rPr>
            </w:pP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视障阅览室</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47</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4256" w:type="dxa"/>
            <w:gridSpan w:val="2"/>
            <w:tcBorders>
              <w:top w:val="single" w:color="auto" w:sz="4" w:space="0"/>
              <w:left w:val="nil"/>
              <w:bottom w:val="single" w:color="auto" w:sz="4"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实际使用房屋建筑面积</w:t>
            </w:r>
          </w:p>
        </w:tc>
        <w:tc>
          <w:tcPr>
            <w:tcW w:w="10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15,518</w:t>
            </w:r>
          </w:p>
        </w:tc>
      </w:tr>
      <w:tr>
        <w:tblPrEx>
          <w:tblCellMar>
            <w:top w:w="0" w:type="dxa"/>
            <w:left w:w="108" w:type="dxa"/>
            <w:bottom w:w="0" w:type="dxa"/>
            <w:right w:w="108" w:type="dxa"/>
          </w:tblCellMar>
        </w:tblPrEx>
        <w:trPr>
          <w:trHeight w:val="300" w:hRule="atLeast"/>
          <w:jc w:val="center"/>
        </w:trPr>
        <w:tc>
          <w:tcPr>
            <w:tcW w:w="724" w:type="dxa"/>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w:t>
            </w:r>
          </w:p>
        </w:tc>
        <w:tc>
          <w:tcPr>
            <w:tcW w:w="4256" w:type="dxa"/>
            <w:gridSpan w:val="2"/>
            <w:tcBorders>
              <w:top w:val="single" w:color="auto" w:sz="4" w:space="0"/>
              <w:left w:val="nil"/>
              <w:bottom w:val="single" w:color="auto" w:sz="8" w:space="0"/>
              <w:right w:val="single" w:color="000000"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实际拥有产权面积</w:t>
            </w:r>
          </w:p>
        </w:tc>
        <w:tc>
          <w:tcPr>
            <w:tcW w:w="10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0</w:t>
            </w:r>
          </w:p>
        </w:tc>
      </w:tr>
    </w:tbl>
    <w:p>
      <w:pPr>
        <w:spacing w:line="360" w:lineRule="auto"/>
        <w:rPr>
          <w:rFonts w:ascii="宋体" w:hAnsi="宋体"/>
          <w:b/>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 阅览室坐席数</w:t>
      </w:r>
    </w:p>
    <w:tbl>
      <w:tblPr>
        <w:tblStyle w:val="7"/>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2476" w:type="dxa"/>
            <w:tcBorders>
              <w:top w:val="single" w:color="auto" w:sz="8"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17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数量</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ascii="宋体" w:hAnsi="宋体" w:eastAsia="宋体" w:cs="Tahoma"/>
                <w:color w:val="000000"/>
              </w:rPr>
              <w:t>1</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报刊阅览室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160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ascii="宋体" w:hAnsi="宋体" w:eastAsia="宋体" w:cs="Tahoma"/>
                <w:color w:val="000000"/>
              </w:rPr>
              <w:t>2</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少儿阅览室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3</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图书阅览室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228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4</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综合阅览室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164</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5</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春申文化阅览室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26</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6</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古籍阅览室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15</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7</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外文阅览室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8</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视听室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40</w:t>
            </w:r>
          </w:p>
        </w:tc>
      </w:tr>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9</w:t>
            </w:r>
          </w:p>
        </w:tc>
        <w:tc>
          <w:tcPr>
            <w:tcW w:w="2476"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非物质文化遗产阅览室</w:t>
            </w:r>
          </w:p>
        </w:tc>
        <w:tc>
          <w:tcPr>
            <w:tcW w:w="178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w:t>
            </w:r>
          </w:p>
        </w:tc>
      </w:tr>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10</w:t>
            </w:r>
          </w:p>
        </w:tc>
        <w:tc>
          <w:tcPr>
            <w:tcW w:w="2476"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公共电子阅览室</w:t>
            </w:r>
          </w:p>
        </w:tc>
        <w:tc>
          <w:tcPr>
            <w:tcW w:w="1780" w:type="dxa"/>
            <w:tcBorders>
              <w:top w:val="single" w:color="auto" w:sz="4" w:space="0"/>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11</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自修室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12</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视障阅览室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20</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13</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计算机培训室</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14</w:t>
            </w:r>
          </w:p>
        </w:tc>
        <w:tc>
          <w:tcPr>
            <w:tcW w:w="24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城市书房（闵图馆）</w:t>
            </w:r>
          </w:p>
        </w:tc>
        <w:tc>
          <w:tcPr>
            <w:tcW w:w="178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40</w:t>
            </w:r>
          </w:p>
        </w:tc>
      </w:tr>
      <w:tr>
        <w:tblPrEx>
          <w:tblCellMar>
            <w:top w:w="0" w:type="dxa"/>
            <w:left w:w="108" w:type="dxa"/>
            <w:bottom w:w="0" w:type="dxa"/>
            <w:right w:w="108" w:type="dxa"/>
          </w:tblCellMar>
        </w:tblPrEx>
        <w:trPr>
          <w:trHeight w:val="300" w:hRule="atLeast"/>
          <w:jc w:val="center"/>
        </w:trPr>
        <w:tc>
          <w:tcPr>
            <w:tcW w:w="3200" w:type="dxa"/>
            <w:gridSpan w:val="2"/>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eastAsia="宋体" w:cs="Tahoma"/>
                <w:color w:val="000000"/>
                <w:szCs w:val="21"/>
              </w:rPr>
            </w:pPr>
            <w:r>
              <w:rPr>
                <w:rFonts w:eastAsia="宋体" w:cs="Tahoma"/>
                <w:color w:val="000000"/>
                <w:szCs w:val="21"/>
              </w:rPr>
              <w:t>　</w:t>
            </w:r>
            <w:r>
              <w:rPr>
                <w:rFonts w:hint="eastAsia" w:ascii="宋体" w:hAnsi="宋体" w:eastAsia="宋体" w:cs="Tahoma"/>
                <w:color w:val="000000"/>
                <w:szCs w:val="21"/>
              </w:rPr>
              <w:t>共计</w:t>
            </w:r>
          </w:p>
        </w:tc>
        <w:tc>
          <w:tcPr>
            <w:tcW w:w="17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1073</w:t>
            </w:r>
          </w:p>
        </w:tc>
      </w:tr>
    </w:tbl>
    <w:p>
      <w:pPr>
        <w:spacing w:line="360" w:lineRule="auto"/>
        <w:rPr>
          <w:rFonts w:ascii="宋体" w:hAnsi="宋体" w:eastAsia="宋体" w:cs="宋体"/>
          <w:b/>
          <w:bCs/>
          <w:color w:val="000000"/>
          <w:sz w:val="20"/>
          <w:szCs w:val="20"/>
        </w:rPr>
      </w:pPr>
    </w:p>
    <w:p>
      <w:pPr>
        <w:spacing w:line="360" w:lineRule="auto"/>
        <w:rPr>
          <w:rFonts w:ascii="微软雅黑" w:hAnsi="微软雅黑" w:eastAsia="微软雅黑"/>
          <w:b/>
          <w:szCs w:val="21"/>
        </w:rPr>
      </w:pPr>
      <w:r>
        <w:rPr>
          <w:rFonts w:hint="eastAsia" w:ascii="微软雅黑" w:hAnsi="微软雅黑" w:eastAsia="微软雅黑"/>
          <w:b/>
          <w:szCs w:val="21"/>
        </w:rPr>
        <w:t>3. 触摸媒体：</w:t>
      </w:r>
    </w:p>
    <w:tbl>
      <w:tblPr>
        <w:tblStyle w:val="7"/>
        <w:tblW w:w="4363" w:type="dxa"/>
        <w:jc w:val="center"/>
        <w:tblLayout w:type="autofit"/>
        <w:tblCellMar>
          <w:top w:w="0" w:type="dxa"/>
          <w:left w:w="108" w:type="dxa"/>
          <w:bottom w:w="0" w:type="dxa"/>
          <w:right w:w="108" w:type="dxa"/>
        </w:tblCellMar>
      </w:tblPr>
      <w:tblGrid>
        <w:gridCol w:w="2992"/>
        <w:gridCol w:w="1371"/>
      </w:tblGrid>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类  型</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数量（台）</w:t>
            </w:r>
          </w:p>
        </w:tc>
      </w:tr>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自助借还机</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书目查询机</w:t>
            </w:r>
          </w:p>
        </w:tc>
        <w:tc>
          <w:tcPr>
            <w:tcW w:w="1371"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楼宇电视</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13</w:t>
            </w:r>
          </w:p>
        </w:tc>
      </w:tr>
      <w:tr>
        <w:tblPrEx>
          <w:tblCellMar>
            <w:top w:w="0" w:type="dxa"/>
            <w:left w:w="108" w:type="dxa"/>
            <w:bottom w:w="0" w:type="dxa"/>
            <w:right w:w="108" w:type="dxa"/>
          </w:tblCellMar>
        </w:tblPrEx>
        <w:trPr>
          <w:trHeight w:val="285"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绘本电子书点读机（少儿）</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2</w:t>
            </w:r>
          </w:p>
        </w:tc>
      </w:tr>
      <w:tr>
        <w:tblPrEx>
          <w:tblCellMar>
            <w:top w:w="0" w:type="dxa"/>
            <w:left w:w="108" w:type="dxa"/>
            <w:bottom w:w="0" w:type="dxa"/>
            <w:right w:w="108" w:type="dxa"/>
          </w:tblCellMar>
        </w:tblPrEx>
        <w:trPr>
          <w:trHeight w:val="219" w:hRule="atLeast"/>
          <w:jc w:val="center"/>
        </w:trPr>
        <w:tc>
          <w:tcPr>
            <w:tcW w:w="2992"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电子书借阅机</w:t>
            </w:r>
          </w:p>
        </w:tc>
        <w:tc>
          <w:tcPr>
            <w:tcW w:w="1371"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cs="Tahoma" w:asciiTheme="minorEastAsia" w:hAnsiTheme="minorEastAsia"/>
              </w:rPr>
              <w:t>1</w:t>
            </w:r>
          </w:p>
        </w:tc>
      </w:tr>
      <w:tr>
        <w:tblPrEx>
          <w:tblCellMar>
            <w:top w:w="0" w:type="dxa"/>
            <w:left w:w="108" w:type="dxa"/>
            <w:bottom w:w="0" w:type="dxa"/>
            <w:right w:w="108" w:type="dxa"/>
          </w:tblCellMar>
        </w:tblPrEx>
        <w:trPr>
          <w:trHeight w:val="300" w:hRule="atLeast"/>
          <w:jc w:val="center"/>
        </w:trPr>
        <w:tc>
          <w:tcPr>
            <w:tcW w:w="2992" w:type="dxa"/>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cs="Tahoma" w:asciiTheme="minorEastAsia" w:hAnsiTheme="minorEastAsia"/>
              </w:rPr>
            </w:pPr>
            <w:r>
              <w:rPr>
                <w:rFonts w:hint="eastAsia" w:cs="Tahoma" w:asciiTheme="minorEastAsia" w:hAnsiTheme="minorEastAsia"/>
              </w:rPr>
              <w:t>数字书刊借阅机</w:t>
            </w:r>
          </w:p>
        </w:tc>
        <w:tc>
          <w:tcPr>
            <w:tcW w:w="1371"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cs="Tahoma" w:asciiTheme="minorEastAsia" w:hAnsiTheme="minorEastAsia"/>
              </w:rPr>
            </w:pPr>
            <w:r>
              <w:rPr>
                <w:rFonts w:cs="Tahoma" w:asciiTheme="minorEastAsia" w:hAnsiTheme="minorEastAsia"/>
              </w:rPr>
              <w:t>1</w:t>
            </w:r>
          </w:p>
        </w:tc>
      </w:tr>
    </w:tbl>
    <w:p>
      <w:pPr>
        <w:spacing w:line="360" w:lineRule="auto"/>
        <w:rPr>
          <w:rFonts w:ascii="微软雅黑" w:hAnsi="微软雅黑" w:eastAsia="微软雅黑"/>
          <w:b/>
          <w:szCs w:val="21"/>
        </w:rPr>
      </w:pPr>
    </w:p>
    <w:p>
      <w:pPr>
        <w:spacing w:line="360" w:lineRule="auto"/>
        <w:rPr>
          <w:rFonts w:asciiTheme="minorEastAsia" w:hAnsiTheme="minorEastAsia"/>
          <w:b/>
          <w:szCs w:val="21"/>
        </w:rPr>
      </w:pPr>
      <w:r>
        <w:rPr>
          <w:rFonts w:hint="eastAsia" w:ascii="微软雅黑" w:hAnsi="微软雅黑" w:eastAsia="微软雅黑"/>
          <w:b/>
          <w:szCs w:val="21"/>
        </w:rPr>
        <w:t>4. 读者服务区无线网络覆盖率：</w:t>
      </w:r>
      <w:r>
        <w:rPr>
          <w:rFonts w:hint="eastAsia" w:cs="宋体" w:asciiTheme="minorEastAsia" w:hAnsiTheme="minorEastAsia"/>
          <w:color w:val="000000"/>
          <w:szCs w:val="21"/>
        </w:rPr>
        <w:t>100%</w:t>
      </w:r>
    </w:p>
    <w:p>
      <w:pPr>
        <w:spacing w:line="360" w:lineRule="auto"/>
        <w:rPr>
          <w:rFonts w:cs="宋体" w:asciiTheme="minorEastAsia" w:hAnsiTheme="minorEastAsia"/>
          <w:color w:val="000000"/>
          <w:szCs w:val="21"/>
        </w:rPr>
      </w:pPr>
      <w:r>
        <w:rPr>
          <w:rFonts w:hint="eastAsia" w:ascii="微软雅黑" w:hAnsi="微软雅黑" w:eastAsia="微软雅黑"/>
          <w:b/>
          <w:szCs w:val="21"/>
        </w:rPr>
        <w:t>5. 网络带宽：</w:t>
      </w:r>
      <w:r>
        <w:rPr>
          <w:rFonts w:hint="eastAsia" w:cs="宋体" w:asciiTheme="minorEastAsia" w:hAnsiTheme="minorEastAsia"/>
          <w:color w:val="000000"/>
          <w:szCs w:val="21"/>
        </w:rPr>
        <w:t>东方有线宽带300M，电信宽带300M</w:t>
      </w:r>
    </w:p>
    <w:p>
      <w:pPr>
        <w:spacing w:line="360" w:lineRule="auto"/>
        <w:rPr>
          <w:rFonts w:ascii="微软雅黑" w:hAnsi="微软雅黑" w:eastAsia="微软雅黑"/>
          <w:b/>
          <w:szCs w:val="21"/>
        </w:rPr>
      </w:pPr>
      <w:r>
        <w:rPr>
          <w:rFonts w:hint="eastAsia" w:ascii="微软雅黑" w:hAnsi="微软雅黑" w:eastAsia="微软雅黑"/>
          <w:b/>
          <w:szCs w:val="21"/>
        </w:rPr>
        <w:t>6. 存储容量：</w:t>
      </w:r>
    </w:p>
    <w:p>
      <w:pPr>
        <w:spacing w:line="360" w:lineRule="auto"/>
        <w:ind w:firstLine="315" w:firstLineChars="150"/>
        <w:rPr>
          <w:rFonts w:ascii="宋体" w:hAnsi="宋体"/>
          <w:b/>
          <w:szCs w:val="21"/>
        </w:rPr>
      </w:pPr>
      <w:r>
        <w:rPr>
          <w:rFonts w:hint="eastAsia" w:ascii="微软雅黑" w:hAnsi="微软雅黑" w:eastAsia="微软雅黑"/>
          <w:b/>
          <w:szCs w:val="21"/>
        </w:rPr>
        <w:t>物理存储容量：</w:t>
      </w:r>
      <w:r>
        <w:rPr>
          <w:rFonts w:hint="eastAsia" w:cs="宋体" w:asciiTheme="minorEastAsia" w:hAnsiTheme="minorEastAsia"/>
          <w:color w:val="000000"/>
          <w:szCs w:val="21"/>
        </w:rPr>
        <w:t>51.96T</w:t>
      </w:r>
    </w:p>
    <w:p>
      <w:pPr>
        <w:spacing w:line="360" w:lineRule="auto"/>
        <w:ind w:firstLine="315" w:firstLineChars="150"/>
        <w:rPr>
          <w:rFonts w:cs="宋体" w:asciiTheme="minorEastAsia" w:hAnsiTheme="minorEastAsia"/>
          <w:color w:val="000000"/>
          <w:szCs w:val="21"/>
        </w:rPr>
      </w:pPr>
      <w:r>
        <w:rPr>
          <w:rFonts w:hint="eastAsia" w:ascii="微软雅黑" w:hAnsi="微软雅黑" w:eastAsia="微软雅黑"/>
          <w:b/>
          <w:szCs w:val="21"/>
        </w:rPr>
        <w:t>实际可用容量：</w:t>
      </w:r>
      <w:r>
        <w:rPr>
          <w:rFonts w:hint="eastAsia" w:cs="宋体" w:asciiTheme="minorEastAsia" w:hAnsiTheme="minorEastAsia"/>
          <w:color w:val="000000"/>
          <w:szCs w:val="21"/>
        </w:rPr>
        <w:t>39.39T</w:t>
      </w: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rPr>
          <w:rFonts w:cs="宋体" w:asciiTheme="minorEastAsia" w:hAnsiTheme="minorEastAsia"/>
          <w:color w:val="000000"/>
          <w:szCs w:val="21"/>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rPr>
        <w:t>七、 馆藏统计</w:t>
      </w:r>
    </w:p>
    <w:p>
      <w:pPr>
        <w:spacing w:line="360" w:lineRule="auto"/>
        <w:ind w:firstLine="480"/>
        <w:jc w:val="center"/>
        <w:rPr>
          <w:b/>
          <w:sz w:val="24"/>
          <w:szCs w:val="24"/>
        </w:rPr>
      </w:pPr>
    </w:p>
    <w:p>
      <w:pPr>
        <w:spacing w:line="360" w:lineRule="auto"/>
        <w:rPr>
          <w:rFonts w:ascii="微软雅黑" w:hAnsi="微软雅黑" w:eastAsia="微软雅黑"/>
          <w:szCs w:val="21"/>
        </w:rPr>
      </w:pPr>
      <w:r>
        <w:rPr>
          <w:rFonts w:hint="eastAsia" w:ascii="微软雅黑" w:hAnsi="微软雅黑" w:eastAsia="微软雅黑"/>
          <w:b/>
          <w:szCs w:val="21"/>
        </w:rPr>
        <w:t>1. 图书及视听文献藏量</w:t>
      </w:r>
    </w:p>
    <w:tbl>
      <w:tblPr>
        <w:tblStyle w:val="7"/>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品 种</w:t>
            </w:r>
          </w:p>
        </w:tc>
        <w:tc>
          <w:tcPr>
            <w:tcW w:w="1780"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藏量（册）</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图书</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w:t>
            </w:r>
            <w:r>
              <w:rPr>
                <w:rFonts w:ascii="宋体" w:hAnsi="宋体" w:eastAsia="宋体" w:cs="宋体"/>
                <w:sz w:val="20"/>
                <w:szCs w:val="20"/>
              </w:rPr>
              <w:t>505</w:t>
            </w:r>
            <w:r>
              <w:rPr>
                <w:rFonts w:hint="eastAsia" w:ascii="宋体" w:hAnsi="宋体" w:eastAsia="宋体" w:cs="宋体"/>
                <w:sz w:val="20"/>
                <w:szCs w:val="20"/>
              </w:rPr>
              <w:t>,</w:t>
            </w:r>
            <w:r>
              <w:rPr>
                <w:rFonts w:ascii="宋体" w:hAnsi="宋体" w:eastAsia="宋体" w:cs="宋体"/>
                <w:sz w:val="20"/>
                <w:szCs w:val="20"/>
              </w:rPr>
              <w:t>608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其中：开架书刊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w:t>
            </w:r>
            <w:r>
              <w:rPr>
                <w:rFonts w:ascii="宋体" w:hAnsi="宋体" w:eastAsia="宋体" w:cs="宋体"/>
                <w:sz w:val="20"/>
                <w:szCs w:val="20"/>
              </w:rPr>
              <w:t>361</w:t>
            </w:r>
            <w:r>
              <w:rPr>
                <w:rFonts w:hint="eastAsia" w:ascii="宋体" w:hAnsi="宋体" w:eastAsia="宋体" w:cs="宋体"/>
                <w:sz w:val="20"/>
                <w:szCs w:val="20"/>
              </w:rPr>
              <w:t>,</w:t>
            </w:r>
            <w:r>
              <w:rPr>
                <w:rFonts w:ascii="宋体" w:hAnsi="宋体" w:eastAsia="宋体" w:cs="宋体"/>
                <w:sz w:val="20"/>
                <w:szCs w:val="20"/>
              </w:rPr>
              <w:t>772</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少儿文献</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199</w:t>
            </w:r>
            <w:r>
              <w:rPr>
                <w:rFonts w:hint="eastAsia" w:ascii="宋体" w:hAnsi="宋体" w:eastAsia="宋体" w:cs="宋体"/>
                <w:sz w:val="20"/>
                <w:szCs w:val="20"/>
              </w:rPr>
              <w:t>,</w:t>
            </w:r>
            <w:r>
              <w:rPr>
                <w:rFonts w:ascii="宋体" w:hAnsi="宋体" w:eastAsia="宋体" w:cs="宋体"/>
                <w:sz w:val="20"/>
                <w:szCs w:val="20"/>
              </w:rPr>
              <w:t>193</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古籍</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10</w:t>
            </w:r>
            <w:r>
              <w:rPr>
                <w:rFonts w:hint="eastAsia" w:ascii="宋体" w:hAnsi="宋体" w:eastAsia="宋体" w:cs="宋体"/>
                <w:sz w:val="20"/>
                <w:szCs w:val="20"/>
              </w:rPr>
              <w:t>,</w:t>
            </w:r>
            <w:r>
              <w:rPr>
                <w:rFonts w:ascii="宋体" w:hAnsi="宋体" w:eastAsia="宋体" w:cs="宋体"/>
                <w:sz w:val="20"/>
                <w:szCs w:val="20"/>
              </w:rPr>
              <w:t>092</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3</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报纸、期刊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38</w:t>
            </w:r>
            <w:r>
              <w:rPr>
                <w:rFonts w:hint="eastAsia" w:ascii="宋体" w:hAnsi="宋体" w:eastAsia="宋体" w:cs="宋体"/>
                <w:sz w:val="20"/>
                <w:szCs w:val="20"/>
              </w:rPr>
              <w:t>,</w:t>
            </w:r>
            <w:r>
              <w:rPr>
                <w:rFonts w:ascii="宋体" w:hAnsi="宋体" w:eastAsia="宋体" w:cs="宋体"/>
                <w:sz w:val="20"/>
                <w:szCs w:val="20"/>
              </w:rPr>
              <w:t>969</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4</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视听文献</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8</w:t>
            </w:r>
            <w:r>
              <w:rPr>
                <w:rFonts w:hint="eastAsia" w:ascii="宋体" w:hAnsi="宋体" w:eastAsia="宋体" w:cs="宋体"/>
                <w:sz w:val="20"/>
                <w:szCs w:val="20"/>
              </w:rPr>
              <w:t>,</w:t>
            </w:r>
            <w:r>
              <w:rPr>
                <w:rFonts w:ascii="宋体" w:hAnsi="宋体" w:eastAsia="宋体" w:cs="宋体"/>
                <w:sz w:val="20"/>
                <w:szCs w:val="20"/>
              </w:rPr>
              <w:t>071</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eastAsia="宋体" w:cs="Tahoma"/>
              </w:rPr>
            </w:pPr>
            <w:r>
              <w:rPr>
                <w:rFonts w:eastAsia="宋体" w:cs="Tahoma"/>
              </w:rPr>
              <w:t>　</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总藏量</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r>
              <w:rPr>
                <w:rFonts w:hint="eastAsia" w:ascii="宋体" w:hAnsi="宋体" w:eastAsia="宋体" w:cs="宋体"/>
                <w:sz w:val="20"/>
                <w:szCs w:val="20"/>
              </w:rPr>
              <w:t>,</w:t>
            </w:r>
            <w:r>
              <w:rPr>
                <w:rFonts w:ascii="宋体" w:hAnsi="宋体" w:eastAsia="宋体" w:cs="宋体"/>
                <w:sz w:val="20"/>
                <w:szCs w:val="20"/>
              </w:rPr>
              <w:t>529</w:t>
            </w:r>
            <w:r>
              <w:rPr>
                <w:rFonts w:hint="eastAsia" w:ascii="宋体" w:hAnsi="宋体" w:eastAsia="宋体" w:cs="宋体"/>
                <w:sz w:val="20"/>
                <w:szCs w:val="20"/>
              </w:rPr>
              <w:t>,</w:t>
            </w:r>
            <w:r>
              <w:rPr>
                <w:rFonts w:ascii="宋体" w:hAnsi="宋体" w:eastAsia="宋体" w:cs="宋体"/>
                <w:sz w:val="20"/>
                <w:szCs w:val="20"/>
              </w:rPr>
              <w:t>375</w:t>
            </w:r>
          </w:p>
        </w:tc>
      </w:tr>
    </w:tbl>
    <w:p>
      <w:pPr>
        <w:spacing w:line="360" w:lineRule="auto"/>
        <w:rPr>
          <w:rFonts w:ascii="宋体" w:hAnsi="宋体" w:eastAsia="宋体" w:cs="宋体"/>
          <w:b/>
          <w:bCs/>
          <w:color w:val="000000"/>
          <w:szCs w:val="21"/>
        </w:rPr>
      </w:pPr>
    </w:p>
    <w:p>
      <w:pPr>
        <w:spacing w:line="360" w:lineRule="auto"/>
        <w:rPr>
          <w:rFonts w:ascii="微软雅黑" w:hAnsi="微软雅黑" w:eastAsia="微软雅黑"/>
          <w:b/>
          <w:szCs w:val="21"/>
        </w:rPr>
      </w:pPr>
      <w:r>
        <w:rPr>
          <w:rFonts w:hint="eastAsia" w:ascii="微软雅黑" w:hAnsi="微软雅黑" w:eastAsia="微软雅黑"/>
          <w:b/>
          <w:szCs w:val="21"/>
        </w:rPr>
        <w:t>2. 二〇二〇年新增馆藏</w:t>
      </w:r>
    </w:p>
    <w:tbl>
      <w:tblPr>
        <w:tblStyle w:val="7"/>
        <w:tblW w:w="4100" w:type="dxa"/>
        <w:jc w:val="center"/>
        <w:tblLayout w:type="autofit"/>
        <w:tblCellMar>
          <w:top w:w="0" w:type="dxa"/>
          <w:left w:w="108" w:type="dxa"/>
          <w:bottom w:w="0" w:type="dxa"/>
          <w:right w:w="108" w:type="dxa"/>
        </w:tblCellMar>
      </w:tblPr>
      <w:tblGrid>
        <w:gridCol w:w="880"/>
        <w:gridCol w:w="1080"/>
        <w:gridCol w:w="1070"/>
        <w:gridCol w:w="1070"/>
      </w:tblGrid>
      <w:tr>
        <w:tblPrEx>
          <w:tblCellMar>
            <w:top w:w="0" w:type="dxa"/>
            <w:left w:w="108" w:type="dxa"/>
            <w:bottom w:w="0" w:type="dxa"/>
            <w:right w:w="108" w:type="dxa"/>
          </w:tblCellMar>
        </w:tblPrEx>
        <w:trPr>
          <w:trHeight w:val="285" w:hRule="atLeast"/>
          <w:jc w:val="center"/>
        </w:trPr>
        <w:tc>
          <w:tcPr>
            <w:tcW w:w="880"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月份</w:t>
            </w:r>
          </w:p>
        </w:tc>
        <w:tc>
          <w:tcPr>
            <w:tcW w:w="1080" w:type="dxa"/>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新购</w:t>
            </w:r>
            <w:r>
              <w:rPr>
                <w:rFonts w:hint="eastAsia" w:ascii="微软雅黑" w:hAnsi="微软雅黑" w:eastAsia="微软雅黑"/>
                <w:b/>
                <w:szCs w:val="21"/>
              </w:rPr>
              <w:t>图书</w:t>
            </w:r>
          </w:p>
        </w:tc>
        <w:tc>
          <w:tcPr>
            <w:tcW w:w="2140" w:type="dxa"/>
            <w:gridSpan w:val="2"/>
            <w:tcBorders>
              <w:top w:val="single" w:color="auto" w:sz="8" w:space="0"/>
              <w:left w:val="nil"/>
              <w:bottom w:val="single" w:color="auto" w:sz="4" w:space="0"/>
              <w:right w:val="single" w:color="000000" w:sz="8"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入藏图书</w:t>
            </w:r>
          </w:p>
        </w:tc>
      </w:tr>
      <w:tr>
        <w:tblPrEx>
          <w:tblCellMar>
            <w:top w:w="0" w:type="dxa"/>
            <w:left w:w="108" w:type="dxa"/>
            <w:bottom w:w="0" w:type="dxa"/>
            <w:right w:w="108" w:type="dxa"/>
          </w:tblCellMar>
        </w:tblPrEx>
        <w:trPr>
          <w:trHeight w:val="285" w:hRule="atLeast"/>
          <w:jc w:val="center"/>
        </w:trPr>
        <w:tc>
          <w:tcPr>
            <w:tcW w:w="880"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Tahoma"/>
                <w:b/>
                <w:bCs/>
                <w:color w:val="000000"/>
                <w:sz w:val="20"/>
                <w:szCs w:val="20"/>
              </w:rPr>
            </w:pPr>
          </w:p>
        </w:tc>
        <w:tc>
          <w:tcPr>
            <w:tcW w:w="1080"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rPr>
                <w:rFonts w:ascii="宋体" w:hAnsi="宋体" w:eastAsia="宋体" w:cs="Tahoma"/>
                <w:b/>
                <w:bCs/>
                <w:color w:val="000000"/>
                <w:sz w:val="20"/>
                <w:szCs w:val="20"/>
              </w:rPr>
            </w:pP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全部</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b/>
                <w:bCs/>
                <w:color w:val="000000"/>
                <w:sz w:val="20"/>
                <w:szCs w:val="20"/>
              </w:rPr>
            </w:pPr>
            <w:r>
              <w:rPr>
                <w:rFonts w:hint="eastAsia" w:ascii="宋体" w:hAnsi="宋体" w:eastAsia="宋体" w:cs="Tahoma"/>
                <w:b/>
                <w:bCs/>
                <w:color w:val="000000"/>
                <w:sz w:val="20"/>
                <w:szCs w:val="20"/>
              </w:rPr>
              <w:t>少儿</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4,076</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4,830</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1,710</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2,191</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0</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0</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3,880</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178</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107</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9,422</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3,240</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840</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8,047</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5,366</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360</w:t>
            </w:r>
          </w:p>
        </w:tc>
      </w:tr>
      <w:tr>
        <w:tblPrEx>
          <w:tblCellMar>
            <w:top w:w="0" w:type="dxa"/>
            <w:left w:w="108" w:type="dxa"/>
            <w:bottom w:w="0" w:type="dxa"/>
            <w:right w:w="108" w:type="dxa"/>
          </w:tblCellMar>
        </w:tblPrEx>
        <w:trPr>
          <w:trHeight w:val="285" w:hRule="atLeast"/>
          <w:jc w:val="center"/>
        </w:trPr>
        <w:tc>
          <w:tcPr>
            <w:tcW w:w="88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w:t>
            </w:r>
          </w:p>
        </w:tc>
        <w:tc>
          <w:tcPr>
            <w:tcW w:w="108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8,421</w:t>
            </w:r>
          </w:p>
        </w:tc>
        <w:tc>
          <w:tcPr>
            <w:tcW w:w="10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5,286</w:t>
            </w:r>
          </w:p>
        </w:tc>
        <w:tc>
          <w:tcPr>
            <w:tcW w:w="1070"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2,309</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8,483</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10,313</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4,893</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5,532</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10,286</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4,224</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6,165</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6,351</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2,921</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10</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4,333</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4,598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1,944</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11</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3,838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7,332</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946</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12</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8,070</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3,837</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312</w:t>
            </w:r>
          </w:p>
        </w:tc>
      </w:tr>
      <w:tr>
        <w:tblPrEx>
          <w:tblCellMar>
            <w:top w:w="0" w:type="dxa"/>
            <w:left w:w="108" w:type="dxa"/>
            <w:bottom w:w="0" w:type="dxa"/>
            <w:right w:w="108" w:type="dxa"/>
          </w:tblCellMar>
        </w:tblPrEx>
        <w:trPr>
          <w:trHeight w:val="285" w:hRule="atLeast"/>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合计</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72,458</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61,617</w:t>
            </w:r>
          </w:p>
        </w:tc>
        <w:tc>
          <w:tcPr>
            <w:tcW w:w="1070"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20,566</w:t>
            </w:r>
          </w:p>
        </w:tc>
      </w:tr>
    </w:tbl>
    <w:p>
      <w:pPr>
        <w:spacing w:line="360" w:lineRule="auto"/>
        <w:rPr>
          <w:rFonts w:ascii="微软雅黑" w:hAnsi="微软雅黑" w:eastAsia="微软雅黑"/>
          <w:b/>
          <w:szCs w:val="21"/>
        </w:rPr>
      </w:pPr>
      <w:r>
        <w:rPr>
          <w:rFonts w:hint="eastAsia" w:ascii="微软雅黑" w:hAnsi="微软雅黑" w:eastAsia="微软雅黑"/>
          <w:b/>
          <w:szCs w:val="21"/>
        </w:rPr>
        <w:t>3. 本年订购报纸、期刊种类数</w:t>
      </w:r>
    </w:p>
    <w:tbl>
      <w:tblPr>
        <w:tblStyle w:val="7"/>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种类</w:t>
            </w:r>
          </w:p>
        </w:tc>
        <w:tc>
          <w:tcPr>
            <w:tcW w:w="1780"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数量（种）</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报纸</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265</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期刊</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1,129</w:t>
            </w:r>
          </w:p>
        </w:tc>
      </w:tr>
      <w:tr>
        <w:tblPrEx>
          <w:tblCellMar>
            <w:top w:w="0" w:type="dxa"/>
            <w:left w:w="108" w:type="dxa"/>
            <w:bottom w:w="0" w:type="dxa"/>
            <w:right w:w="108" w:type="dxa"/>
          </w:tblCellMar>
        </w:tblPrEx>
        <w:trPr>
          <w:trHeight w:val="285" w:hRule="atLeast"/>
          <w:jc w:val="center"/>
        </w:trPr>
        <w:tc>
          <w:tcPr>
            <w:tcW w:w="3200" w:type="dxa"/>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Tahoma"/>
              </w:rPr>
            </w:pPr>
            <w:r>
              <w:rPr>
                <w:rFonts w:hint="eastAsia" w:ascii="宋体" w:hAnsi="宋体" w:eastAsia="宋体" w:cs="Tahoma"/>
              </w:rPr>
              <w:t>合计</w:t>
            </w:r>
          </w:p>
        </w:tc>
        <w:tc>
          <w:tcPr>
            <w:tcW w:w="1780"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1,394</w:t>
            </w:r>
          </w:p>
        </w:tc>
      </w:tr>
    </w:tbl>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p>
    <w:p>
      <w:pPr>
        <w:pStyle w:val="13"/>
        <w:numPr>
          <w:numId w:val="0"/>
        </w:numPr>
        <w:spacing w:line="360" w:lineRule="auto"/>
        <w:ind w:leftChars="0"/>
        <w:jc w:val="center"/>
        <w:rPr>
          <w:rFonts w:ascii="微软雅黑" w:hAnsi="微软雅黑" w:eastAsia="微软雅黑"/>
          <w:b/>
          <w:sz w:val="24"/>
          <w:szCs w:val="24"/>
        </w:rPr>
      </w:pPr>
      <w:r>
        <w:rPr>
          <w:rFonts w:hint="eastAsia" w:ascii="微软雅黑" w:hAnsi="微软雅黑" w:eastAsia="微软雅黑"/>
          <w:b/>
          <w:sz w:val="24"/>
          <w:szCs w:val="24"/>
          <w:lang w:eastAsia="zh-CN"/>
        </w:rPr>
        <w:t>八、</w:t>
      </w:r>
      <w:r>
        <w:rPr>
          <w:rFonts w:hint="eastAsia" w:ascii="微软雅黑" w:hAnsi="微软雅黑" w:eastAsia="微软雅黑"/>
          <w:b/>
          <w:sz w:val="24"/>
          <w:szCs w:val="24"/>
        </w:rPr>
        <w:t>业务工作情况</w:t>
      </w:r>
    </w:p>
    <w:p>
      <w:pPr>
        <w:spacing w:line="360" w:lineRule="auto"/>
        <w:ind w:firstLine="420"/>
        <w:rPr>
          <w:rFonts w:ascii="宋体" w:hAnsi="宋体"/>
          <w:b/>
          <w:szCs w:val="21"/>
        </w:rPr>
      </w:pPr>
      <w:r>
        <w:rPr>
          <w:rFonts w:hint="eastAsia" w:ascii="微软雅黑" w:hAnsi="微软雅黑" w:eastAsia="微软雅黑"/>
          <w:b/>
          <w:szCs w:val="21"/>
        </w:rPr>
        <w:t>1.基础服务</w:t>
      </w:r>
    </w:p>
    <w:tbl>
      <w:tblPr>
        <w:tblStyle w:val="7"/>
        <w:tblW w:w="8654" w:type="dxa"/>
        <w:jc w:val="center"/>
        <w:tblLayout w:type="autofit"/>
        <w:tblCellMar>
          <w:top w:w="0" w:type="dxa"/>
          <w:left w:w="108" w:type="dxa"/>
          <w:bottom w:w="0" w:type="dxa"/>
          <w:right w:w="108" w:type="dxa"/>
        </w:tblCellMar>
      </w:tblPr>
      <w:tblGrid>
        <w:gridCol w:w="710"/>
        <w:gridCol w:w="1353"/>
        <w:gridCol w:w="1276"/>
        <w:gridCol w:w="1276"/>
        <w:gridCol w:w="1417"/>
        <w:gridCol w:w="1347"/>
        <w:gridCol w:w="1275"/>
      </w:tblGrid>
      <w:tr>
        <w:tblPrEx>
          <w:tblCellMar>
            <w:top w:w="0" w:type="dxa"/>
            <w:left w:w="108" w:type="dxa"/>
            <w:bottom w:w="0" w:type="dxa"/>
            <w:right w:w="108" w:type="dxa"/>
          </w:tblCellMar>
        </w:tblPrEx>
        <w:trPr>
          <w:trHeight w:val="270" w:hRule="atLeast"/>
          <w:jc w:val="center"/>
        </w:trPr>
        <w:tc>
          <w:tcPr>
            <w:tcW w:w="710"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2629"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借还册次</w:t>
            </w:r>
          </w:p>
        </w:tc>
        <w:tc>
          <w:tcPr>
            <w:tcW w:w="2693"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借还人次</w:t>
            </w:r>
          </w:p>
        </w:tc>
        <w:tc>
          <w:tcPr>
            <w:tcW w:w="1347"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电子图书</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外借册次</w:t>
            </w:r>
          </w:p>
        </w:tc>
        <w:tc>
          <w:tcPr>
            <w:tcW w:w="1275" w:type="dxa"/>
            <w:vMerge w:val="restart"/>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街镇借还</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册次</w:t>
            </w:r>
          </w:p>
        </w:tc>
      </w:tr>
      <w:tr>
        <w:tblPrEx>
          <w:tblCellMar>
            <w:top w:w="0" w:type="dxa"/>
            <w:left w:w="108" w:type="dxa"/>
            <w:bottom w:w="0" w:type="dxa"/>
            <w:right w:w="108" w:type="dxa"/>
          </w:tblCellMar>
        </w:tblPrEx>
        <w:trPr>
          <w:trHeight w:val="270" w:hRule="atLeast"/>
          <w:jc w:val="center"/>
        </w:trPr>
        <w:tc>
          <w:tcPr>
            <w:tcW w:w="710"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宋体"/>
                <w:b/>
                <w:bCs/>
                <w:color w:val="000000"/>
                <w:szCs w:val="21"/>
              </w:rPr>
            </w:pP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27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347" w:type="dxa"/>
            <w:vMerge w:val="continue"/>
            <w:tcBorders>
              <w:top w:val="single" w:color="auto" w:sz="8" w:space="0"/>
              <w:left w:val="single" w:color="auto" w:sz="4" w:space="0"/>
              <w:bottom w:val="single" w:color="auto" w:sz="4" w:space="0"/>
              <w:right w:val="single" w:color="auto" w:sz="4" w:space="0"/>
            </w:tcBorders>
            <w:vAlign w:val="center"/>
          </w:tcPr>
          <w:p>
            <w:pPr>
              <w:spacing w:line="360" w:lineRule="auto"/>
              <w:rPr>
                <w:rFonts w:ascii="宋体" w:hAnsi="宋体" w:eastAsia="宋体" w:cs="宋体"/>
                <w:b/>
                <w:bCs/>
                <w:color w:val="000000"/>
                <w:sz w:val="20"/>
                <w:szCs w:val="20"/>
              </w:rPr>
            </w:pPr>
          </w:p>
        </w:tc>
        <w:tc>
          <w:tcPr>
            <w:tcW w:w="1275" w:type="dxa"/>
            <w:vMerge w:val="continue"/>
            <w:tcBorders>
              <w:top w:val="single" w:color="auto" w:sz="8" w:space="0"/>
              <w:left w:val="single" w:color="auto" w:sz="4" w:space="0"/>
              <w:bottom w:val="single" w:color="auto" w:sz="4" w:space="0"/>
              <w:right w:val="single" w:color="auto" w:sz="8" w:space="0"/>
            </w:tcBorders>
            <w:vAlign w:val="center"/>
          </w:tcPr>
          <w:p>
            <w:pPr>
              <w:spacing w:line="360" w:lineRule="auto"/>
              <w:rPr>
                <w:rFonts w:ascii="宋体" w:hAnsi="宋体" w:eastAsia="宋体" w:cs="宋体"/>
                <w:b/>
                <w:bCs/>
                <w:color w:val="000000"/>
                <w:sz w:val="20"/>
                <w:szCs w:val="20"/>
              </w:rPr>
            </w:pP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180,474</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85,094</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38,653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14,328</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6,548</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129,493</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9,549</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4,374</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1,877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656</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6,029</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3,103</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31,559</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11,180</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6,108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1,801</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5,810</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21,068</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36,242</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6,904</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7,442</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1,252</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8,002</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35,370</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38,375</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5,511</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7,818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1,002</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5,830</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51,504</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55,414</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17,906</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10,837</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2,596</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6,714</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67,824</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66,585</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28,441</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12,686</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4,063</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10,230</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99,011</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70,403</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33,737</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13,430</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4,848</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8,668</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90,911</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79,196</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37,653</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15,188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5,656</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9,132</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97,473</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96,926</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48,140</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18,302</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7,139</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8,499</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87,483</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105,574</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52,945</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19,458</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7,387</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11,709</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98,840</w:t>
            </w:r>
          </w:p>
        </w:tc>
      </w:tr>
      <w:tr>
        <w:tblPrEx>
          <w:tblCellMar>
            <w:top w:w="0" w:type="dxa"/>
            <w:left w:w="108" w:type="dxa"/>
            <w:bottom w:w="0" w:type="dxa"/>
            <w:right w:w="108" w:type="dxa"/>
          </w:tblCellMar>
        </w:tblPrEx>
        <w:trPr>
          <w:trHeight w:val="270" w:hRule="atLeast"/>
          <w:jc w:val="center"/>
        </w:trPr>
        <w:tc>
          <w:tcPr>
            <w:tcW w:w="710"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35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117,121</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58,226</w:t>
            </w:r>
          </w:p>
        </w:tc>
        <w:tc>
          <w:tcPr>
            <w:tcW w:w="1276"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21,704</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7,907</w:t>
            </w:r>
          </w:p>
        </w:tc>
        <w:tc>
          <w:tcPr>
            <w:tcW w:w="1347"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12,359</w:t>
            </w:r>
          </w:p>
        </w:tc>
        <w:tc>
          <w:tcPr>
            <w:tcW w:w="127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83,044</w:t>
            </w:r>
          </w:p>
        </w:tc>
      </w:tr>
      <w:tr>
        <w:tblPrEx>
          <w:tblCellMar>
            <w:top w:w="0" w:type="dxa"/>
            <w:left w:w="108" w:type="dxa"/>
            <w:bottom w:w="0" w:type="dxa"/>
            <w:right w:w="108" w:type="dxa"/>
          </w:tblCellMar>
        </w:tblPrEx>
        <w:trPr>
          <w:trHeight w:val="285" w:hRule="atLeast"/>
          <w:jc w:val="center"/>
        </w:trPr>
        <w:tc>
          <w:tcPr>
            <w:tcW w:w="710"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353"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887,418</w:t>
            </w:r>
          </w:p>
        </w:tc>
        <w:tc>
          <w:tcPr>
            <w:tcW w:w="1276" w:type="dxa"/>
            <w:tcBorders>
              <w:top w:val="nil"/>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390,111</w:t>
            </w:r>
          </w:p>
        </w:tc>
        <w:tc>
          <w:tcPr>
            <w:tcW w:w="1276" w:type="dxa"/>
            <w:tcBorders>
              <w:top w:val="nil"/>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173,503</w:t>
            </w:r>
          </w:p>
        </w:tc>
        <w:tc>
          <w:tcPr>
            <w:tcW w:w="1417" w:type="dxa"/>
            <w:tcBorders>
              <w:top w:val="single" w:color="auto" w:sz="4" w:space="0"/>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58,635</w:t>
            </w:r>
          </w:p>
        </w:tc>
        <w:tc>
          <w:tcPr>
            <w:tcW w:w="1347" w:type="dxa"/>
            <w:tcBorders>
              <w:top w:val="nil"/>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rPr>
            </w:pPr>
            <w:r>
              <w:rPr>
                <w:rFonts w:hint="eastAsia" w:ascii="宋体" w:hAnsi="宋体" w:eastAsia="宋体" w:cs="宋体"/>
                <w:color w:val="000000"/>
              </w:rPr>
              <w:t>99,530</w:t>
            </w:r>
          </w:p>
        </w:tc>
        <w:tc>
          <w:tcPr>
            <w:tcW w:w="1275" w:type="dxa"/>
            <w:tcBorders>
              <w:top w:val="nil"/>
              <w:left w:val="nil"/>
              <w:bottom w:val="single" w:color="auto" w:sz="8"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865,124</w:t>
            </w:r>
          </w:p>
        </w:tc>
      </w:tr>
    </w:tbl>
    <w:p>
      <w:pPr>
        <w:spacing w:line="360" w:lineRule="auto"/>
        <w:rPr>
          <w:rFonts w:ascii="宋体" w:hAnsi="宋体"/>
          <w:b/>
          <w:szCs w:val="21"/>
        </w:rPr>
      </w:pPr>
    </w:p>
    <w:tbl>
      <w:tblPr>
        <w:tblStyle w:val="7"/>
        <w:tblW w:w="9411" w:type="dxa"/>
        <w:jc w:val="center"/>
        <w:tblLayout w:type="autofit"/>
        <w:tblCellMar>
          <w:top w:w="0" w:type="dxa"/>
          <w:left w:w="108" w:type="dxa"/>
          <w:bottom w:w="0" w:type="dxa"/>
          <w:right w:w="108" w:type="dxa"/>
        </w:tblCellMar>
      </w:tblPr>
      <w:tblGrid>
        <w:gridCol w:w="892"/>
        <w:gridCol w:w="1154"/>
        <w:gridCol w:w="1313"/>
        <w:gridCol w:w="1134"/>
        <w:gridCol w:w="1305"/>
        <w:gridCol w:w="1167"/>
        <w:gridCol w:w="1170"/>
        <w:gridCol w:w="1276"/>
      </w:tblGrid>
      <w:tr>
        <w:tblPrEx>
          <w:tblCellMar>
            <w:top w:w="0" w:type="dxa"/>
            <w:left w:w="108" w:type="dxa"/>
            <w:bottom w:w="0" w:type="dxa"/>
            <w:right w:w="108" w:type="dxa"/>
          </w:tblCellMar>
        </w:tblPrEx>
        <w:trPr>
          <w:trHeight w:val="525" w:hRule="atLeast"/>
          <w:jc w:val="center"/>
        </w:trPr>
        <w:tc>
          <w:tcPr>
            <w:tcW w:w="892" w:type="dxa"/>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1154"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无线上网</w:t>
            </w:r>
          </w:p>
        </w:tc>
        <w:tc>
          <w:tcPr>
            <w:tcW w:w="1313"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总流通人次</w:t>
            </w:r>
          </w:p>
        </w:tc>
        <w:tc>
          <w:tcPr>
            <w:tcW w:w="1134"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参考咨询</w:t>
            </w:r>
          </w:p>
        </w:tc>
        <w:tc>
          <w:tcPr>
            <w:tcW w:w="1305" w:type="dxa"/>
            <w:tcBorders>
              <w:top w:val="single" w:color="auto" w:sz="8" w:space="0"/>
              <w:left w:val="nil"/>
              <w:bottom w:val="single" w:color="auto" w:sz="4" w:space="0"/>
              <w:right w:val="single" w:color="auto" w:sz="4"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访问量</w:t>
            </w:r>
          </w:p>
        </w:tc>
        <w:tc>
          <w:tcPr>
            <w:tcW w:w="1167" w:type="dxa"/>
            <w:tcBorders>
              <w:top w:val="single" w:color="auto" w:sz="8" w:space="0"/>
              <w:left w:val="nil"/>
              <w:bottom w:val="single" w:color="auto" w:sz="4" w:space="0"/>
              <w:right w:val="single" w:color="auto" w:sz="4" w:space="0"/>
            </w:tcBorders>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微信端</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访问量</w:t>
            </w:r>
          </w:p>
        </w:tc>
        <w:tc>
          <w:tcPr>
            <w:tcW w:w="1170" w:type="dxa"/>
            <w:tcBorders>
              <w:top w:val="single" w:color="auto" w:sz="8" w:space="0"/>
              <w:left w:val="single" w:color="auto" w:sz="4" w:space="0"/>
              <w:bottom w:val="single" w:color="auto" w:sz="4" w:space="0"/>
              <w:right w:val="single" w:color="auto" w:sz="8" w:space="0"/>
            </w:tcBorders>
            <w:shd w:val="clear" w:color="auto" w:fill="auto"/>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检索量</w:t>
            </w:r>
          </w:p>
        </w:tc>
        <w:tc>
          <w:tcPr>
            <w:tcW w:w="1276" w:type="dxa"/>
            <w:tcBorders>
              <w:top w:val="single" w:color="auto" w:sz="8" w:space="0"/>
              <w:left w:val="nil"/>
              <w:bottom w:val="single" w:color="auto" w:sz="4" w:space="0"/>
              <w:right w:val="single" w:color="auto" w:sz="8" w:space="0"/>
            </w:tcBorders>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数字资源</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下载量</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21,171</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71,554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999</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309,783</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22,865</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621,824</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38,825</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72</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176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022</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185,829</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16,911</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488,914</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25,669</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186</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2,366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022</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198,984</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18,824</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579,667</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32,854</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0</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6,510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063</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209,392</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21,083</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553,807</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33,951</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4,095</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9,079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093</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215,961</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37,550</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546,612</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34,689</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10,777</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20,617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033</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230,795</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59,618</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589,566</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35,207</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10,314</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32,114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032</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260,068</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54,864</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531,434</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35,185</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4,029</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42,661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022</w:t>
            </w:r>
          </w:p>
        </w:tc>
        <w:tc>
          <w:tcPr>
            <w:tcW w:w="130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284,174</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52,508</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491,576</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41,034</w:t>
            </w:r>
          </w:p>
        </w:tc>
      </w:tr>
      <w:tr>
        <w:tblPrEx>
          <w:tblCellMar>
            <w:top w:w="0" w:type="dxa"/>
            <w:left w:w="108" w:type="dxa"/>
            <w:bottom w:w="0" w:type="dxa"/>
            <w:right w:w="108" w:type="dxa"/>
          </w:tblCellMar>
        </w:tblPrEx>
        <w:trPr>
          <w:trHeight w:val="270" w:hRule="atLeast"/>
          <w:jc w:val="center"/>
        </w:trPr>
        <w:tc>
          <w:tcPr>
            <w:tcW w:w="89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154"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4,381</w:t>
            </w:r>
          </w:p>
        </w:tc>
        <w:tc>
          <w:tcPr>
            <w:tcW w:w="1313"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45,362</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008</w:t>
            </w:r>
          </w:p>
        </w:tc>
        <w:tc>
          <w:tcPr>
            <w:tcW w:w="130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312,887</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48,510</w:t>
            </w:r>
          </w:p>
        </w:tc>
        <w:tc>
          <w:tcPr>
            <w:tcW w:w="1170" w:type="dxa"/>
            <w:tcBorders>
              <w:top w:val="single" w:color="auto" w:sz="4" w:space="0"/>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327,119</w:t>
            </w:r>
          </w:p>
        </w:tc>
        <w:tc>
          <w:tcPr>
            <w:tcW w:w="1276" w:type="dxa"/>
            <w:tcBorders>
              <w:top w:val="single" w:color="auto" w:sz="4" w:space="0"/>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47,358</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4,603</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53,338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004</w:t>
            </w:r>
          </w:p>
        </w:tc>
        <w:tc>
          <w:tcPr>
            <w:tcW w:w="130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338,239</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47,985</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235,780</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48,052</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4,810</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54,151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993</w:t>
            </w:r>
          </w:p>
        </w:tc>
        <w:tc>
          <w:tcPr>
            <w:tcW w:w="130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387,222</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47,170</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246,061</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55,920</w:t>
            </w:r>
          </w:p>
        </w:tc>
      </w:tr>
      <w:tr>
        <w:tblPrEx>
          <w:tblCellMar>
            <w:top w:w="0" w:type="dxa"/>
            <w:left w:w="108" w:type="dxa"/>
            <w:bottom w:w="0" w:type="dxa"/>
            <w:right w:w="108" w:type="dxa"/>
          </w:tblCellMar>
        </w:tblPrEx>
        <w:trPr>
          <w:trHeight w:val="270" w:hRule="atLeast"/>
          <w:jc w:val="center"/>
        </w:trPr>
        <w:tc>
          <w:tcPr>
            <w:tcW w:w="892"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154"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5,548</w:t>
            </w:r>
          </w:p>
        </w:tc>
        <w:tc>
          <w:tcPr>
            <w:tcW w:w="1313"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57,495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w:t>
            </w:r>
            <w:r>
              <w:rPr>
                <w:rFonts w:ascii="宋体" w:hAnsi="宋体" w:eastAsia="宋体" w:cs="宋体"/>
                <w:color w:val="000000"/>
                <w:sz w:val="20"/>
                <w:szCs w:val="20"/>
              </w:rPr>
              <w:t>,</w:t>
            </w:r>
            <w:r>
              <w:rPr>
                <w:rFonts w:hint="eastAsia" w:ascii="宋体" w:hAnsi="宋体" w:eastAsia="宋体" w:cs="宋体"/>
                <w:color w:val="000000"/>
                <w:sz w:val="20"/>
                <w:szCs w:val="20"/>
              </w:rPr>
              <w:t>001</w:t>
            </w:r>
          </w:p>
        </w:tc>
        <w:tc>
          <w:tcPr>
            <w:tcW w:w="130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418,145</w:t>
            </w:r>
          </w:p>
        </w:tc>
        <w:tc>
          <w:tcPr>
            <w:tcW w:w="116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51,524</w:t>
            </w:r>
          </w:p>
        </w:tc>
        <w:tc>
          <w:tcPr>
            <w:tcW w:w="1170" w:type="dxa"/>
            <w:tcBorders>
              <w:top w:val="nil"/>
              <w:left w:val="single" w:color="auto" w:sz="4" w:space="0"/>
              <w:bottom w:val="single" w:color="auto" w:sz="4"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313,250</w:t>
            </w:r>
          </w:p>
        </w:tc>
        <w:tc>
          <w:tcPr>
            <w:tcW w:w="1276" w:type="dxa"/>
            <w:tcBorders>
              <w:top w:val="nil"/>
              <w:left w:val="nil"/>
              <w:bottom w:val="single" w:color="auto" w:sz="4"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63,453</w:t>
            </w:r>
          </w:p>
        </w:tc>
      </w:tr>
      <w:tr>
        <w:tblPrEx>
          <w:tblCellMar>
            <w:top w:w="0" w:type="dxa"/>
            <w:left w:w="108" w:type="dxa"/>
            <w:bottom w:w="0" w:type="dxa"/>
            <w:right w:w="108" w:type="dxa"/>
          </w:tblCellMar>
        </w:tblPrEx>
        <w:trPr>
          <w:trHeight w:val="285" w:hRule="atLeast"/>
          <w:jc w:val="center"/>
        </w:trPr>
        <w:tc>
          <w:tcPr>
            <w:tcW w:w="892"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154"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69,986</w:t>
            </w:r>
          </w:p>
        </w:tc>
        <w:tc>
          <w:tcPr>
            <w:tcW w:w="1313"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395,423</w:t>
            </w:r>
          </w:p>
        </w:tc>
        <w:tc>
          <w:tcPr>
            <w:tcW w:w="1134" w:type="dxa"/>
            <w:tcBorders>
              <w:top w:val="nil"/>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ascii="宋体" w:hAnsi="宋体" w:eastAsia="宋体" w:cs="宋体"/>
                <w:color w:val="000000"/>
                <w:sz w:val="20"/>
                <w:szCs w:val="20"/>
              </w:rPr>
              <w:t>12</w:t>
            </w:r>
            <w:r>
              <w:rPr>
                <w:rFonts w:hint="eastAsia" w:ascii="宋体" w:hAnsi="宋体" w:eastAsia="宋体" w:cs="宋体"/>
                <w:color w:val="000000"/>
                <w:sz w:val="20"/>
                <w:szCs w:val="20"/>
              </w:rPr>
              <w:t>,</w:t>
            </w:r>
            <w:r>
              <w:rPr>
                <w:rFonts w:ascii="宋体" w:hAnsi="宋体" w:eastAsia="宋体" w:cs="宋体"/>
                <w:color w:val="000000"/>
                <w:sz w:val="20"/>
                <w:szCs w:val="20"/>
              </w:rPr>
              <w:t>292</w:t>
            </w:r>
          </w:p>
        </w:tc>
        <w:tc>
          <w:tcPr>
            <w:tcW w:w="1305" w:type="dxa"/>
            <w:tcBorders>
              <w:top w:val="nil"/>
              <w:left w:val="nil"/>
              <w:bottom w:val="single" w:color="auto" w:sz="8"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3,351,479</w:t>
            </w:r>
          </w:p>
        </w:tc>
        <w:tc>
          <w:tcPr>
            <w:tcW w:w="1167" w:type="dxa"/>
            <w:tcBorders>
              <w:top w:val="single" w:color="auto" w:sz="4" w:space="0"/>
              <w:left w:val="nil"/>
              <w:bottom w:val="single" w:color="auto" w:sz="8" w:space="0"/>
              <w:right w:val="single" w:color="auto" w:sz="4" w:space="0"/>
            </w:tcBorders>
            <w:vAlign w:val="center"/>
          </w:tcPr>
          <w:p>
            <w:pPr>
              <w:jc w:val="center"/>
              <w:rPr>
                <w:rFonts w:ascii="宋体" w:hAnsi="宋体" w:eastAsia="宋体" w:cs="宋体"/>
                <w:color w:val="000000"/>
              </w:rPr>
            </w:pPr>
            <w:r>
              <w:rPr>
                <w:rFonts w:hint="eastAsia" w:ascii="宋体" w:hAnsi="宋体" w:eastAsia="宋体" w:cs="宋体"/>
                <w:color w:val="000000"/>
              </w:rPr>
              <w:t>479,412</w:t>
            </w:r>
          </w:p>
        </w:tc>
        <w:tc>
          <w:tcPr>
            <w:tcW w:w="1170" w:type="dxa"/>
            <w:tcBorders>
              <w:top w:val="nil"/>
              <w:left w:val="single" w:color="auto" w:sz="4" w:space="0"/>
              <w:bottom w:val="single" w:color="auto" w:sz="8" w:space="0"/>
              <w:right w:val="single" w:color="auto" w:sz="8"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5,525,610</w:t>
            </w:r>
          </w:p>
        </w:tc>
        <w:tc>
          <w:tcPr>
            <w:tcW w:w="1276" w:type="dxa"/>
            <w:tcBorders>
              <w:top w:val="nil"/>
              <w:left w:val="nil"/>
              <w:bottom w:val="single" w:color="auto" w:sz="8" w:space="0"/>
              <w:right w:val="single" w:color="auto" w:sz="8" w:space="0"/>
            </w:tcBorders>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492,197</w:t>
            </w:r>
          </w:p>
        </w:tc>
      </w:tr>
    </w:tbl>
    <w:p>
      <w:pPr>
        <w:spacing w:line="360" w:lineRule="auto"/>
        <w:jc w:val="center"/>
        <w:rPr>
          <w:rFonts w:ascii="宋体" w:hAnsi="宋体"/>
          <w:b/>
          <w:szCs w:val="21"/>
        </w:rPr>
      </w:pPr>
    </w:p>
    <w:p>
      <w:pPr>
        <w:spacing w:line="360" w:lineRule="auto"/>
        <w:jc w:val="center"/>
        <w:rPr>
          <w:rFonts w:ascii="宋体" w:hAnsi="宋体"/>
          <w:b/>
          <w:szCs w:val="21"/>
        </w:rPr>
      </w:pPr>
      <w:r>
        <w:rPr>
          <w:rFonts w:hint="eastAsia" w:ascii="宋体" w:hAnsi="宋体"/>
          <w:b/>
          <w:szCs w:val="21"/>
        </w:rPr>
        <w:t>有效证件</w:t>
      </w:r>
    </w:p>
    <w:tbl>
      <w:tblPr>
        <w:tblStyle w:val="7"/>
        <w:tblW w:w="5400" w:type="dxa"/>
        <w:jc w:val="center"/>
        <w:tblLayout w:type="autofit"/>
        <w:tblCellMar>
          <w:top w:w="0" w:type="dxa"/>
          <w:left w:w="108" w:type="dxa"/>
          <w:bottom w:w="0" w:type="dxa"/>
          <w:right w:w="108" w:type="dxa"/>
        </w:tblCellMar>
      </w:tblPr>
      <w:tblGrid>
        <w:gridCol w:w="724"/>
        <w:gridCol w:w="1046"/>
        <w:gridCol w:w="970"/>
        <w:gridCol w:w="1445"/>
        <w:gridCol w:w="1215"/>
      </w:tblGrid>
      <w:tr>
        <w:tblPrEx>
          <w:tblCellMar>
            <w:top w:w="0" w:type="dxa"/>
            <w:left w:w="108" w:type="dxa"/>
            <w:bottom w:w="0" w:type="dxa"/>
            <w:right w:w="108" w:type="dxa"/>
          </w:tblCellMar>
        </w:tblPrEx>
        <w:trPr>
          <w:trHeight w:val="270" w:hRule="atLeast"/>
          <w:jc w:val="center"/>
        </w:trPr>
        <w:tc>
          <w:tcPr>
            <w:tcW w:w="724"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月份</w:t>
            </w:r>
          </w:p>
        </w:tc>
        <w:tc>
          <w:tcPr>
            <w:tcW w:w="2016" w:type="dxa"/>
            <w:gridSpan w:val="2"/>
            <w:tcBorders>
              <w:top w:val="single" w:color="auto" w:sz="8"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新办证</w:t>
            </w:r>
          </w:p>
        </w:tc>
        <w:tc>
          <w:tcPr>
            <w:tcW w:w="2660" w:type="dxa"/>
            <w:gridSpan w:val="2"/>
            <w:tcBorders>
              <w:top w:val="single" w:color="auto" w:sz="8" w:space="0"/>
              <w:left w:val="nil"/>
              <w:bottom w:val="single" w:color="auto" w:sz="4" w:space="0"/>
              <w:right w:val="single" w:color="000000" w:sz="8"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有效证</w:t>
            </w:r>
          </w:p>
        </w:tc>
      </w:tr>
      <w:tr>
        <w:tblPrEx>
          <w:tblCellMar>
            <w:top w:w="0" w:type="dxa"/>
            <w:left w:w="108" w:type="dxa"/>
            <w:bottom w:w="0" w:type="dxa"/>
            <w:right w:w="108" w:type="dxa"/>
          </w:tblCellMar>
        </w:tblPrEx>
        <w:trPr>
          <w:trHeight w:val="270" w:hRule="atLeast"/>
          <w:jc w:val="center"/>
        </w:trPr>
        <w:tc>
          <w:tcPr>
            <w:tcW w:w="724" w:type="dxa"/>
            <w:vMerge w:val="continue"/>
            <w:tcBorders>
              <w:top w:val="single" w:color="auto" w:sz="8" w:space="0"/>
              <w:left w:val="single" w:color="auto" w:sz="8" w:space="0"/>
              <w:bottom w:val="single" w:color="auto" w:sz="4" w:space="0"/>
              <w:right w:val="single" w:color="auto" w:sz="4" w:space="0"/>
            </w:tcBorders>
            <w:vAlign w:val="center"/>
          </w:tcPr>
          <w:p>
            <w:pPr>
              <w:spacing w:line="360" w:lineRule="auto"/>
              <w:rPr>
                <w:rFonts w:ascii="宋体" w:hAnsi="宋体" w:eastAsia="宋体" w:cs="宋体"/>
                <w:b/>
                <w:bCs/>
                <w:color w:val="000000"/>
                <w:szCs w:val="21"/>
              </w:rPr>
            </w:pP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全部</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少儿</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闵图</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街镇</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294</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74</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136,976</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48,546</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0</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0</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136,837</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48,493</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0</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136,628</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48,407</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43</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136,480</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48,379</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64</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136,304</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48,382</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6</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169</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21</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136,250</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48,400</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7</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235</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31</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136,315</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48,503</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227</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49</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136,282</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48,587</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289</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82</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136,292</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48,702</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10</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421</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112</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136,447</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48,919</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361</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113</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136,329</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48,848</w:t>
            </w:r>
          </w:p>
        </w:tc>
      </w:tr>
      <w:tr>
        <w:tblPrEx>
          <w:tblCellMar>
            <w:top w:w="0" w:type="dxa"/>
            <w:left w:w="108" w:type="dxa"/>
            <w:bottom w:w="0" w:type="dxa"/>
            <w:right w:w="108" w:type="dxa"/>
          </w:tblCellMar>
        </w:tblPrEx>
        <w:trPr>
          <w:trHeight w:val="270"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12</w:t>
            </w:r>
          </w:p>
        </w:tc>
        <w:tc>
          <w:tcPr>
            <w:tcW w:w="1046"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335</w:t>
            </w:r>
          </w:p>
        </w:tc>
        <w:tc>
          <w:tcPr>
            <w:tcW w:w="970"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94</w:t>
            </w:r>
          </w:p>
        </w:tc>
        <w:tc>
          <w:tcPr>
            <w:tcW w:w="144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135,404</w:t>
            </w:r>
          </w:p>
        </w:tc>
        <w:tc>
          <w:tcPr>
            <w:tcW w:w="1215" w:type="dxa"/>
            <w:tcBorders>
              <w:top w:val="nil"/>
              <w:left w:val="nil"/>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47,920</w:t>
            </w:r>
          </w:p>
        </w:tc>
      </w:tr>
      <w:tr>
        <w:tblPrEx>
          <w:tblCellMar>
            <w:top w:w="0" w:type="dxa"/>
            <w:left w:w="108" w:type="dxa"/>
            <w:bottom w:w="0" w:type="dxa"/>
            <w:right w:w="108" w:type="dxa"/>
          </w:tblCellMar>
        </w:tblPrEx>
        <w:trPr>
          <w:gridAfter w:val="2"/>
          <w:wAfter w:w="2660" w:type="dxa"/>
          <w:trHeight w:val="285" w:hRule="atLeast"/>
          <w:jc w:val="center"/>
        </w:trPr>
        <w:tc>
          <w:tcPr>
            <w:tcW w:w="724"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szCs w:val="21"/>
              </w:rPr>
            </w:pPr>
            <w:r>
              <w:rPr>
                <w:rFonts w:hint="eastAsia" w:ascii="宋体" w:hAnsi="宋体" w:eastAsia="宋体" w:cs="宋体"/>
                <w:color w:val="000000"/>
                <w:szCs w:val="21"/>
              </w:rPr>
              <w:t>合计</w:t>
            </w:r>
          </w:p>
        </w:tc>
        <w:tc>
          <w:tcPr>
            <w:tcW w:w="1046"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2,439</w:t>
            </w:r>
          </w:p>
        </w:tc>
        <w:tc>
          <w:tcPr>
            <w:tcW w:w="970" w:type="dxa"/>
            <w:tcBorders>
              <w:top w:val="nil"/>
              <w:left w:val="nil"/>
              <w:bottom w:val="single" w:color="auto" w:sz="8" w:space="0"/>
              <w:right w:val="single" w:color="auto" w:sz="4" w:space="0"/>
            </w:tcBorders>
            <w:shd w:val="clear" w:color="auto" w:fill="auto"/>
            <w:noWrap/>
            <w:vAlign w:val="center"/>
          </w:tcPr>
          <w:p>
            <w:pPr>
              <w:spacing w:line="360" w:lineRule="auto"/>
              <w:jc w:val="center"/>
              <w:rPr>
                <w:rFonts w:ascii="宋体" w:hAnsi="宋体" w:eastAsia="宋体" w:cs="宋体"/>
                <w:color w:val="000000"/>
              </w:rPr>
            </w:pPr>
            <w:r>
              <w:rPr>
                <w:rFonts w:hint="eastAsia" w:ascii="宋体" w:hAnsi="宋体" w:eastAsia="宋体" w:cs="宋体"/>
                <w:color w:val="000000"/>
              </w:rPr>
              <w:t>582</w:t>
            </w:r>
          </w:p>
        </w:tc>
      </w:tr>
    </w:tbl>
    <w:p>
      <w:pPr>
        <w:spacing w:line="360" w:lineRule="auto"/>
        <w:jc w:val="center"/>
        <w:rPr>
          <w:rFonts w:ascii="宋体" w:hAnsi="宋体"/>
          <w:b/>
          <w:szCs w:val="21"/>
        </w:rPr>
      </w:pPr>
    </w:p>
    <w:p>
      <w:pPr>
        <w:spacing w:line="360" w:lineRule="auto"/>
        <w:jc w:val="center"/>
        <w:rPr>
          <w:rFonts w:ascii="宋体" w:hAnsi="宋体"/>
          <w:b/>
          <w:szCs w:val="21"/>
        </w:rPr>
      </w:pPr>
      <w:r>
        <w:rPr>
          <w:rFonts w:hint="eastAsia" w:ascii="宋体" w:hAnsi="宋体"/>
          <w:b/>
          <w:szCs w:val="21"/>
        </w:rPr>
        <w:t>网站访问量</w:t>
      </w:r>
    </w:p>
    <w:tbl>
      <w:tblPr>
        <w:tblStyle w:val="7"/>
        <w:tblW w:w="4980" w:type="dxa"/>
        <w:jc w:val="center"/>
        <w:tblLayout w:type="autofit"/>
        <w:tblCellMar>
          <w:top w:w="0" w:type="dxa"/>
          <w:left w:w="108" w:type="dxa"/>
          <w:bottom w:w="0" w:type="dxa"/>
          <w:right w:w="108" w:type="dxa"/>
        </w:tblCellMar>
      </w:tblPr>
      <w:tblGrid>
        <w:gridCol w:w="724"/>
        <w:gridCol w:w="2476"/>
        <w:gridCol w:w="1780"/>
      </w:tblGrid>
      <w:tr>
        <w:tblPrEx>
          <w:tblCellMar>
            <w:top w:w="0" w:type="dxa"/>
            <w:left w:w="108" w:type="dxa"/>
            <w:bottom w:w="0" w:type="dxa"/>
            <w:right w:w="108" w:type="dxa"/>
          </w:tblCellMar>
        </w:tblPrEx>
        <w:trPr>
          <w:trHeight w:val="285" w:hRule="atLeast"/>
          <w:jc w:val="center"/>
        </w:trPr>
        <w:tc>
          <w:tcPr>
            <w:tcW w:w="724" w:type="dxa"/>
            <w:tcBorders>
              <w:top w:val="single" w:color="auto" w:sz="8" w:space="0"/>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2476" w:type="dxa"/>
            <w:tcBorders>
              <w:top w:val="single" w:color="auto" w:sz="8" w:space="0"/>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项  目</w:t>
            </w:r>
          </w:p>
        </w:tc>
        <w:tc>
          <w:tcPr>
            <w:tcW w:w="1780" w:type="dxa"/>
            <w:tcBorders>
              <w:top w:val="single" w:color="auto" w:sz="8" w:space="0"/>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szCs w:val="21"/>
              </w:rPr>
            </w:pPr>
            <w:r>
              <w:rPr>
                <w:rFonts w:hint="eastAsia" w:ascii="宋体" w:hAnsi="宋体" w:eastAsia="宋体" w:cs="宋体"/>
                <w:b/>
                <w:bCs/>
                <w:szCs w:val="21"/>
              </w:rPr>
              <w:t>页  次</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szCs w:val="21"/>
              </w:rPr>
            </w:pPr>
            <w:r>
              <w:rPr>
                <w:rFonts w:hint="eastAsia" w:ascii="宋体" w:hAnsi="宋体" w:eastAsia="宋体" w:cs="Tahoma"/>
                <w:szCs w:val="21"/>
              </w:rPr>
              <w:t>官网网站访问量</w:t>
            </w:r>
          </w:p>
        </w:tc>
        <w:tc>
          <w:tcPr>
            <w:tcW w:w="17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70,618</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8"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sz w:val="20"/>
                <w:szCs w:val="20"/>
              </w:rPr>
            </w:pPr>
            <w:r>
              <w:rPr>
                <w:rFonts w:ascii="宋体" w:hAnsi="宋体" w:eastAsia="宋体" w:cs="宋体"/>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szCs w:val="21"/>
              </w:rPr>
            </w:pPr>
            <w:r>
              <w:rPr>
                <w:rFonts w:hint="eastAsia" w:ascii="宋体" w:hAnsi="宋体" w:eastAsia="宋体" w:cs="Tahoma"/>
                <w:szCs w:val="21"/>
              </w:rPr>
              <w:t>馆内官网访问量</w:t>
            </w:r>
          </w:p>
        </w:tc>
        <w:tc>
          <w:tcPr>
            <w:tcW w:w="1780" w:type="dxa"/>
            <w:tcBorders>
              <w:top w:val="nil"/>
              <w:left w:val="nil"/>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653,029</w:t>
            </w:r>
          </w:p>
        </w:tc>
      </w:tr>
      <w:tr>
        <w:tblPrEx>
          <w:tblCellMar>
            <w:top w:w="0" w:type="dxa"/>
            <w:left w:w="108" w:type="dxa"/>
            <w:bottom w:w="0" w:type="dxa"/>
            <w:right w:w="108" w:type="dxa"/>
          </w:tblCellMar>
        </w:tblPrEx>
        <w:trPr>
          <w:trHeight w:val="300" w:hRule="atLeast"/>
          <w:jc w:val="center"/>
        </w:trPr>
        <w:tc>
          <w:tcPr>
            <w:tcW w:w="3200" w:type="dxa"/>
            <w:gridSpan w:val="2"/>
            <w:tcBorders>
              <w:top w:val="nil"/>
              <w:left w:val="single" w:color="auto" w:sz="8" w:space="0"/>
              <w:bottom w:val="single" w:color="auto" w:sz="8" w:space="0"/>
              <w:right w:val="single" w:color="auto" w:sz="4" w:space="0"/>
            </w:tcBorders>
            <w:shd w:val="clear" w:color="auto" w:fill="auto"/>
            <w:noWrap/>
            <w:vAlign w:val="bottom"/>
          </w:tcPr>
          <w:p>
            <w:pPr>
              <w:spacing w:line="360" w:lineRule="auto"/>
              <w:jc w:val="center"/>
              <w:rPr>
                <w:rFonts w:ascii="宋体" w:hAnsi="宋体" w:eastAsia="宋体" w:cs="Tahoma"/>
              </w:rPr>
            </w:pPr>
            <w:r>
              <w:rPr>
                <w:rFonts w:hint="eastAsia" w:ascii="宋体" w:hAnsi="宋体" w:eastAsia="宋体" w:cs="Tahoma"/>
              </w:rPr>
              <w:t>　</w:t>
            </w:r>
            <w:r>
              <w:rPr>
                <w:rFonts w:hint="eastAsia" w:ascii="宋体" w:hAnsi="宋体" w:eastAsia="宋体" w:cs="Tahoma"/>
                <w:szCs w:val="21"/>
              </w:rPr>
              <w:t>合计</w:t>
            </w:r>
          </w:p>
        </w:tc>
        <w:tc>
          <w:tcPr>
            <w:tcW w:w="1780" w:type="dxa"/>
            <w:tcBorders>
              <w:top w:val="nil"/>
              <w:left w:val="nil"/>
              <w:bottom w:val="single" w:color="auto" w:sz="8" w:space="0"/>
              <w:right w:val="single" w:color="auto" w:sz="8" w:space="0"/>
            </w:tcBorders>
            <w:shd w:val="clear" w:color="auto" w:fill="auto"/>
            <w:noWrap/>
            <w:vAlign w:val="bottom"/>
          </w:tcPr>
          <w:p>
            <w:pPr>
              <w:spacing w:line="360" w:lineRule="auto"/>
              <w:jc w:val="center"/>
              <w:rPr>
                <w:rFonts w:ascii="宋体" w:hAnsi="宋体" w:eastAsia="宋体" w:cs="宋体"/>
                <w:sz w:val="20"/>
                <w:szCs w:val="20"/>
              </w:rPr>
            </w:pPr>
            <w:r>
              <w:rPr>
                <w:rFonts w:hint="eastAsia" w:ascii="宋体" w:hAnsi="宋体" w:eastAsia="宋体" w:cs="宋体"/>
                <w:sz w:val="20"/>
                <w:szCs w:val="20"/>
              </w:rPr>
              <w:t>723,647</w:t>
            </w:r>
          </w:p>
        </w:tc>
      </w:tr>
    </w:tbl>
    <w:p>
      <w:pPr>
        <w:spacing w:line="360" w:lineRule="auto"/>
        <w:jc w:val="center"/>
        <w:rPr>
          <w:rFonts w:ascii="宋体" w:hAnsi="宋体"/>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2. 特殊群体服务</w:t>
      </w:r>
    </w:p>
    <w:tbl>
      <w:tblPr>
        <w:tblStyle w:val="8"/>
        <w:tblW w:w="0" w:type="auto"/>
        <w:tblInd w:w="1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宋体" w:hAnsi="宋体"/>
                <w:b/>
                <w:szCs w:val="21"/>
              </w:rPr>
            </w:pPr>
            <w:r>
              <w:rPr>
                <w:rFonts w:hint="eastAsia" w:ascii="宋体" w:hAnsi="宋体"/>
                <w:b/>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无障碍设施齐全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设有视障阅览室，提供电脑与盲文图书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ascii="Times New Roman" w:hAnsi="Times New Roman" w:cs="Times New Roman"/>
                <w:color w:val="000000"/>
                <w:sz w:val="22"/>
              </w:rPr>
              <w:t>为老年读者配备老花镜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电话预约登记入馆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开展“数字素养”活动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开展盲人观影活动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pPr>
              <w:spacing w:line="360" w:lineRule="auto"/>
              <w:jc w:val="center"/>
              <w:rPr>
                <w:rFonts w:ascii="Times New Roman" w:hAnsi="Times New Roman" w:cs="Times New Roman"/>
                <w:color w:val="000000"/>
                <w:sz w:val="22"/>
              </w:rPr>
            </w:pPr>
            <w:r>
              <w:rPr>
                <w:rFonts w:hint="eastAsia" w:ascii="Times New Roman" w:hAnsi="Times New Roman" w:cs="Times New Roman"/>
                <w:color w:val="000000"/>
                <w:sz w:val="22"/>
              </w:rPr>
              <w:t>开展少儿活动</w:t>
            </w:r>
          </w:p>
        </w:tc>
      </w:tr>
    </w:tbl>
    <w:p>
      <w:pPr>
        <w:spacing w:line="360" w:lineRule="auto"/>
        <w:rPr>
          <w:rFonts w:ascii="宋体" w:hAnsi="宋体"/>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3. 数据库建设统计</w:t>
      </w:r>
    </w:p>
    <w:p>
      <w:pPr>
        <w:spacing w:line="360" w:lineRule="auto"/>
        <w:ind w:firstLine="309" w:firstLineChars="147"/>
        <w:jc w:val="center"/>
        <w:rPr>
          <w:rFonts w:ascii="宋体" w:hAnsi="宋体"/>
          <w:b/>
          <w:szCs w:val="21"/>
        </w:rPr>
      </w:pPr>
      <w:r>
        <w:rPr>
          <w:rFonts w:hint="eastAsia" w:ascii="微软雅黑" w:hAnsi="微软雅黑" w:eastAsia="微软雅黑"/>
          <w:b/>
          <w:szCs w:val="21"/>
        </w:rPr>
        <w:t>本馆自建数据库</w:t>
      </w:r>
    </w:p>
    <w:tbl>
      <w:tblPr>
        <w:tblStyle w:val="7"/>
        <w:tblW w:w="4522" w:type="dxa"/>
        <w:jc w:val="center"/>
        <w:tblLayout w:type="autofit"/>
        <w:tblCellMar>
          <w:top w:w="0" w:type="dxa"/>
          <w:left w:w="108" w:type="dxa"/>
          <w:bottom w:w="0" w:type="dxa"/>
          <w:right w:w="108" w:type="dxa"/>
        </w:tblCellMar>
      </w:tblPr>
      <w:tblGrid>
        <w:gridCol w:w="4522"/>
      </w:tblGrid>
      <w:tr>
        <w:tblPrEx>
          <w:tblCellMar>
            <w:top w:w="0" w:type="dxa"/>
            <w:left w:w="108" w:type="dxa"/>
            <w:bottom w:w="0" w:type="dxa"/>
            <w:right w:w="108" w:type="dxa"/>
          </w:tblCellMar>
        </w:tblPrEx>
        <w:trPr>
          <w:trHeight w:val="285" w:hRule="atLeast"/>
          <w:jc w:val="center"/>
        </w:trPr>
        <w:tc>
          <w:tcPr>
            <w:tcW w:w="4522"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图片电子档案</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闵图流媒体视频共享平台</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闵行记忆</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文化共享工程网站</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地方文献特色库</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Times New Roman" w:hAnsi="Times New Roman" w:eastAsia="宋体" w:cs="Times New Roman"/>
                <w:color w:val="000000"/>
                <w:sz w:val="22"/>
              </w:rPr>
            </w:pPr>
            <w:r>
              <w:rPr>
                <w:rFonts w:ascii="Times New Roman" w:hAnsi="Times New Roman" w:cs="Times New Roman"/>
                <w:color w:val="000000"/>
                <w:sz w:val="22"/>
              </w:rPr>
              <w:t>闵行历史文化地图</w:t>
            </w:r>
          </w:p>
        </w:tc>
      </w:tr>
      <w:tr>
        <w:tblPrEx>
          <w:tblCellMar>
            <w:top w:w="0" w:type="dxa"/>
            <w:left w:w="108" w:type="dxa"/>
            <w:bottom w:w="0" w:type="dxa"/>
            <w:right w:w="108" w:type="dxa"/>
          </w:tblCellMar>
        </w:tblPrEx>
        <w:trPr>
          <w:trHeight w:val="285" w:hRule="atLeast"/>
          <w:jc w:val="center"/>
        </w:trPr>
        <w:tc>
          <w:tcPr>
            <w:tcW w:w="4522"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上海市闵行区政府公开信息查询平台</w:t>
            </w:r>
          </w:p>
        </w:tc>
      </w:tr>
    </w:tbl>
    <w:p>
      <w:pPr>
        <w:spacing w:line="360" w:lineRule="auto"/>
        <w:rPr>
          <w:rFonts w:ascii="宋体" w:hAnsi="宋体"/>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本馆购买数据库</w:t>
      </w:r>
    </w:p>
    <w:tbl>
      <w:tblPr>
        <w:tblStyle w:val="7"/>
        <w:tblW w:w="4291" w:type="dxa"/>
        <w:jc w:val="center"/>
        <w:tblLayout w:type="autofit"/>
        <w:tblCellMar>
          <w:top w:w="0" w:type="dxa"/>
          <w:left w:w="108" w:type="dxa"/>
          <w:bottom w:w="0" w:type="dxa"/>
          <w:right w:w="108" w:type="dxa"/>
        </w:tblCellMar>
      </w:tblPr>
      <w:tblGrid>
        <w:gridCol w:w="4291"/>
      </w:tblGrid>
      <w:tr>
        <w:tblPrEx>
          <w:tblCellMar>
            <w:top w:w="0" w:type="dxa"/>
            <w:left w:w="108" w:type="dxa"/>
            <w:bottom w:w="0" w:type="dxa"/>
            <w:right w:w="108" w:type="dxa"/>
          </w:tblCellMar>
        </w:tblPrEx>
        <w:trPr>
          <w:trHeight w:val="499" w:hRule="atLeast"/>
          <w:jc w:val="center"/>
        </w:trPr>
        <w:tc>
          <w:tcPr>
            <w:tcW w:w="4291"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 xml:space="preserve">智读天下   </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EBM外文电子书</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随书光盘数字资源</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超星数字图书</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计算机软件通</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广益多媒体外语学习平台</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知识视界  微信</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超星微信在线资源</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龙源数字期刊微信版</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万方数据知识服务平台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读秀知识库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百链</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中国知网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龙源数字期刊</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墨香报纸</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维普期刊及考试服务平台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爱不释书少儿漫画</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易趣数字动画视频库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贝贝国学</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泛在微课堂微信版</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居家生活馆微信版</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云图有声</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书舟经典艺术博览库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color w:val="000000"/>
                <w:sz w:val="22"/>
              </w:rPr>
            </w:pPr>
            <w:r>
              <w:rPr>
                <w:rFonts w:hint="eastAsia"/>
                <w:color w:val="000000"/>
                <w:sz w:val="22"/>
              </w:rPr>
              <w:t>银符职业技能实训系统</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闵之图历史文化地图</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书香诗词</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笔杆网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中国近代影像资料库</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 xml:space="preserve">佰腾专利数据库  </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律商网</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中国历史文献库（睿则恩）</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sz w:val="22"/>
              </w:rPr>
            </w:pPr>
            <w:r>
              <w:rPr>
                <w:rFonts w:hint="eastAsia"/>
                <w:sz w:val="22"/>
              </w:rPr>
              <w:t>《民国时期期刊全文数据库》第12辑</w:t>
            </w:r>
          </w:p>
        </w:tc>
      </w:tr>
      <w:tr>
        <w:tblPrEx>
          <w:tblCellMar>
            <w:top w:w="0" w:type="dxa"/>
            <w:left w:w="108" w:type="dxa"/>
            <w:bottom w:w="0" w:type="dxa"/>
            <w:right w:w="108" w:type="dxa"/>
          </w:tblCellMar>
        </w:tblPrEx>
        <w:trPr>
          <w:trHeight w:val="499" w:hRule="atLeast"/>
          <w:jc w:val="center"/>
        </w:trPr>
        <w:tc>
          <w:tcPr>
            <w:tcW w:w="4291" w:type="dxa"/>
            <w:tcBorders>
              <w:top w:val="nil"/>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《近代文献图库》第2，3辑</w:t>
            </w:r>
          </w:p>
        </w:tc>
      </w:tr>
      <w:tr>
        <w:tblPrEx>
          <w:tblCellMar>
            <w:top w:w="0" w:type="dxa"/>
            <w:left w:w="108" w:type="dxa"/>
            <w:bottom w:w="0" w:type="dxa"/>
            <w:right w:w="108" w:type="dxa"/>
          </w:tblCellMar>
        </w:tblPrEx>
        <w:trPr>
          <w:trHeight w:val="499" w:hRule="atLeast"/>
          <w:jc w:val="center"/>
        </w:trPr>
        <w:tc>
          <w:tcPr>
            <w:tcW w:w="4291" w:type="dxa"/>
            <w:tcBorders>
              <w:top w:val="single" w:color="auto" w:sz="4" w:space="0"/>
              <w:left w:val="single" w:color="auto" w:sz="8" w:space="0"/>
              <w:bottom w:val="single" w:color="auto" w:sz="4" w:space="0"/>
              <w:right w:val="single" w:color="auto" w:sz="8" w:space="0"/>
            </w:tcBorders>
            <w:shd w:val="clear" w:color="auto" w:fill="auto"/>
            <w:noWrap/>
            <w:vAlign w:val="center"/>
          </w:tcPr>
          <w:p>
            <w:pPr>
              <w:spacing w:line="360" w:lineRule="auto"/>
              <w:jc w:val="center"/>
              <w:rPr>
                <w:rFonts w:ascii="宋体" w:hAnsi="宋体" w:eastAsia="宋体" w:cs="宋体"/>
                <w:sz w:val="22"/>
              </w:rPr>
            </w:pPr>
            <w:r>
              <w:rPr>
                <w:rFonts w:hint="eastAsia"/>
                <w:sz w:val="22"/>
              </w:rPr>
              <w:t>《红色故事绘》连环画数据库</w:t>
            </w:r>
          </w:p>
        </w:tc>
      </w:tr>
    </w:tbl>
    <w:p>
      <w:pPr>
        <w:widowControl/>
        <w:adjustRightInd w:val="0"/>
        <w:snapToGrid w:val="0"/>
        <w:spacing w:after="200" w:line="360" w:lineRule="auto"/>
        <w:jc w:val="left"/>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4. 数字信息发布平台</w:t>
      </w:r>
    </w:p>
    <w:tbl>
      <w:tblPr>
        <w:tblStyle w:val="7"/>
        <w:tblW w:w="2850" w:type="dxa"/>
        <w:jc w:val="center"/>
        <w:tblLayout w:type="autofit"/>
        <w:tblCellMar>
          <w:top w:w="0" w:type="dxa"/>
          <w:left w:w="108" w:type="dxa"/>
          <w:bottom w:w="0" w:type="dxa"/>
          <w:right w:w="108" w:type="dxa"/>
        </w:tblCellMar>
      </w:tblPr>
      <w:tblGrid>
        <w:gridCol w:w="2850"/>
      </w:tblGrid>
      <w:tr>
        <w:tblPrEx>
          <w:tblCellMar>
            <w:top w:w="0" w:type="dxa"/>
            <w:left w:w="108" w:type="dxa"/>
            <w:bottom w:w="0" w:type="dxa"/>
            <w:right w:w="108" w:type="dxa"/>
          </w:tblCellMar>
        </w:tblPrEx>
        <w:trPr>
          <w:trHeight w:val="285" w:hRule="atLeast"/>
          <w:jc w:val="center"/>
        </w:trPr>
        <w:tc>
          <w:tcPr>
            <w:tcW w:w="2850"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网站平台名称</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上海市闵行区图书馆网站</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闵图微信公众号</w:t>
            </w:r>
          </w:p>
        </w:tc>
      </w:tr>
      <w:tr>
        <w:tblPrEx>
          <w:tblCellMar>
            <w:top w:w="0" w:type="dxa"/>
            <w:left w:w="108" w:type="dxa"/>
            <w:bottom w:w="0" w:type="dxa"/>
            <w:right w:w="108" w:type="dxa"/>
          </w:tblCellMar>
        </w:tblPrEx>
        <w:trPr>
          <w:trHeight w:val="285" w:hRule="atLeast"/>
          <w:jc w:val="center"/>
        </w:trPr>
        <w:tc>
          <w:tcPr>
            <w:tcW w:w="285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新浪微博</w:t>
            </w:r>
          </w:p>
        </w:tc>
      </w:tr>
      <w:tr>
        <w:tblPrEx>
          <w:tblCellMar>
            <w:top w:w="0" w:type="dxa"/>
            <w:left w:w="108" w:type="dxa"/>
            <w:bottom w:w="0" w:type="dxa"/>
            <w:right w:w="108" w:type="dxa"/>
          </w:tblCellMar>
        </w:tblPrEx>
        <w:trPr>
          <w:trHeight w:val="300" w:hRule="atLeast"/>
          <w:jc w:val="center"/>
        </w:trPr>
        <w:tc>
          <w:tcPr>
            <w:tcW w:w="2850" w:type="dxa"/>
            <w:tcBorders>
              <w:top w:val="nil"/>
              <w:left w:val="single" w:color="auto" w:sz="8" w:space="0"/>
              <w:bottom w:val="single" w:color="auto" w:sz="8"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抖音</w:t>
            </w:r>
          </w:p>
        </w:tc>
      </w:tr>
    </w:tbl>
    <w:p>
      <w:pPr>
        <w:spacing w:line="360" w:lineRule="auto"/>
        <w:rPr>
          <w:b/>
          <w:szCs w:val="21"/>
        </w:rPr>
      </w:pPr>
    </w:p>
    <w:p>
      <w:pPr>
        <w:widowControl/>
        <w:adjustRightInd w:val="0"/>
        <w:snapToGrid w:val="0"/>
        <w:spacing w:after="200" w:line="360" w:lineRule="auto"/>
        <w:jc w:val="left"/>
        <w:rPr>
          <w:rFonts w:ascii="微软雅黑" w:hAnsi="微软雅黑" w:eastAsia="微软雅黑"/>
          <w:b/>
          <w:szCs w:val="21"/>
        </w:rPr>
      </w:pPr>
      <w:r>
        <w:rPr>
          <w:rFonts w:hint="eastAsia" w:ascii="微软雅黑" w:hAnsi="微软雅黑" w:eastAsia="微软雅黑"/>
          <w:b/>
          <w:szCs w:val="21"/>
        </w:rPr>
        <w:t>5. 咨询服务</w:t>
      </w: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参考咨询</w:t>
      </w:r>
    </w:p>
    <w:tbl>
      <w:tblPr>
        <w:tblStyle w:val="7"/>
        <w:tblW w:w="2620" w:type="dxa"/>
        <w:jc w:val="center"/>
        <w:tblLayout w:type="autofit"/>
        <w:tblCellMar>
          <w:top w:w="0" w:type="dxa"/>
          <w:left w:w="108" w:type="dxa"/>
          <w:bottom w:w="0" w:type="dxa"/>
          <w:right w:w="108" w:type="dxa"/>
        </w:tblCellMar>
      </w:tblPr>
      <w:tblGrid>
        <w:gridCol w:w="2620"/>
      </w:tblGrid>
      <w:tr>
        <w:tblPrEx>
          <w:tblCellMar>
            <w:top w:w="0" w:type="dxa"/>
            <w:left w:w="108" w:type="dxa"/>
            <w:bottom w:w="0" w:type="dxa"/>
            <w:right w:w="108" w:type="dxa"/>
          </w:tblCellMar>
        </w:tblPrEx>
        <w:trPr>
          <w:trHeight w:val="285" w:hRule="atLeast"/>
          <w:jc w:val="center"/>
        </w:trPr>
        <w:tc>
          <w:tcPr>
            <w:tcW w:w="2620" w:type="dxa"/>
            <w:tcBorders>
              <w:top w:val="single" w:color="auto" w:sz="8" w:space="0"/>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宋体"/>
                <w:b/>
                <w:bCs/>
                <w:color w:val="000000"/>
                <w:szCs w:val="21"/>
              </w:rPr>
              <w:t>参考咨询项目</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咨询台人工服务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阅览室人工服务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专题阅览室人工服务</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E-mail邮件咨询</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网上咨询台</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馆长信箱</w:t>
            </w:r>
          </w:p>
        </w:tc>
      </w:tr>
      <w:tr>
        <w:tblPrEx>
          <w:tblCellMar>
            <w:top w:w="0" w:type="dxa"/>
            <w:left w:w="108" w:type="dxa"/>
            <w:bottom w:w="0" w:type="dxa"/>
            <w:right w:w="108" w:type="dxa"/>
          </w:tblCellMar>
        </w:tblPrEx>
        <w:trPr>
          <w:trHeight w:val="285" w:hRule="atLeast"/>
          <w:jc w:val="center"/>
        </w:trPr>
        <w:tc>
          <w:tcPr>
            <w:tcW w:w="2620" w:type="dxa"/>
            <w:tcBorders>
              <w:top w:val="nil"/>
              <w:left w:val="single" w:color="auto" w:sz="8" w:space="0"/>
              <w:bottom w:val="single" w:color="auto" w:sz="4"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微博咨询</w:t>
            </w:r>
          </w:p>
        </w:tc>
      </w:tr>
      <w:tr>
        <w:tblPrEx>
          <w:tblCellMar>
            <w:top w:w="0" w:type="dxa"/>
            <w:left w:w="108" w:type="dxa"/>
            <w:bottom w:w="0" w:type="dxa"/>
            <w:right w:w="108" w:type="dxa"/>
          </w:tblCellMar>
        </w:tblPrEx>
        <w:trPr>
          <w:trHeight w:val="300" w:hRule="atLeast"/>
          <w:jc w:val="center"/>
        </w:trPr>
        <w:tc>
          <w:tcPr>
            <w:tcW w:w="2620" w:type="dxa"/>
            <w:tcBorders>
              <w:top w:val="nil"/>
              <w:left w:val="single" w:color="auto" w:sz="8" w:space="0"/>
              <w:bottom w:val="single" w:color="auto" w:sz="8" w:space="0"/>
              <w:right w:val="single" w:color="auto" w:sz="8"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微信咨询</w:t>
            </w:r>
          </w:p>
        </w:tc>
      </w:tr>
    </w:tbl>
    <w:p>
      <w:pPr>
        <w:spacing w:line="360" w:lineRule="auto"/>
        <w:rPr>
          <w:b/>
          <w:szCs w:val="21"/>
        </w:rPr>
      </w:pPr>
    </w:p>
    <w:p>
      <w:pPr>
        <w:spacing w:line="360" w:lineRule="auto"/>
        <w:rPr>
          <w:b/>
          <w:szCs w:val="21"/>
        </w:rPr>
      </w:pPr>
    </w:p>
    <w:p>
      <w:pPr>
        <w:spacing w:line="360" w:lineRule="auto"/>
        <w:rPr>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信息服务</w:t>
      </w:r>
    </w:p>
    <w:tbl>
      <w:tblPr>
        <w:tblStyle w:val="7"/>
        <w:tblW w:w="4421" w:type="dxa"/>
        <w:jc w:val="center"/>
        <w:tblLayout w:type="autofit"/>
        <w:tblCellMar>
          <w:top w:w="0" w:type="dxa"/>
          <w:left w:w="108" w:type="dxa"/>
          <w:bottom w:w="0" w:type="dxa"/>
          <w:right w:w="108" w:type="dxa"/>
        </w:tblCellMar>
      </w:tblPr>
      <w:tblGrid>
        <w:gridCol w:w="724"/>
        <w:gridCol w:w="2476"/>
        <w:gridCol w:w="1221"/>
      </w:tblGrid>
      <w:tr>
        <w:tblPrEx>
          <w:tblCellMar>
            <w:top w:w="0" w:type="dxa"/>
            <w:left w:w="108" w:type="dxa"/>
            <w:bottom w:w="0" w:type="dxa"/>
            <w:right w:w="108" w:type="dxa"/>
          </w:tblCellMar>
        </w:tblPrEx>
        <w:trPr>
          <w:trHeight w:val="285"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360" w:lineRule="auto"/>
              <w:rPr>
                <w:rFonts w:ascii="宋体" w:hAnsi="宋体" w:eastAsia="宋体" w:cs="宋体"/>
                <w:b/>
                <w:bCs/>
                <w:color w:val="000000"/>
                <w:szCs w:val="21"/>
              </w:rPr>
            </w:pPr>
            <w:r>
              <w:rPr>
                <w:rFonts w:hint="eastAsia" w:ascii="宋体" w:hAnsi="宋体" w:eastAsia="宋体" w:cs="宋体"/>
                <w:b/>
                <w:bCs/>
                <w:color w:val="000000"/>
                <w:szCs w:val="21"/>
              </w:rPr>
              <w:t>序号</w:t>
            </w:r>
          </w:p>
        </w:tc>
        <w:tc>
          <w:tcPr>
            <w:tcW w:w="2476"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品  名</w:t>
            </w:r>
          </w:p>
        </w:tc>
        <w:tc>
          <w:tcPr>
            <w:tcW w:w="1221" w:type="dxa"/>
            <w:tcBorders>
              <w:top w:val="single" w:color="auto" w:sz="4" w:space="0"/>
              <w:left w:val="nil"/>
              <w:bottom w:val="single" w:color="auto" w:sz="4" w:space="0"/>
              <w:right w:val="single" w:color="auto" w:sz="4" w:space="0"/>
            </w:tcBorders>
            <w:shd w:val="clear" w:color="auto" w:fill="auto"/>
            <w:noWrap/>
            <w:vAlign w:val="bottom"/>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数量</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1</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解答咨询</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744条</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2</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代检索课题</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 xml:space="preserve"> 120项</w:t>
            </w:r>
          </w:p>
        </w:tc>
      </w:tr>
      <w:tr>
        <w:tblPrEx>
          <w:tblCellMar>
            <w:top w:w="0" w:type="dxa"/>
            <w:left w:w="108" w:type="dxa"/>
            <w:bottom w:w="0" w:type="dxa"/>
            <w:right w:w="108" w:type="dxa"/>
          </w:tblCellMar>
        </w:tblPrEx>
        <w:trPr>
          <w:trHeight w:val="285" w:hRule="atLeast"/>
          <w:jc w:val="center"/>
        </w:trPr>
        <w:tc>
          <w:tcPr>
            <w:tcW w:w="724" w:type="dxa"/>
            <w:tcBorders>
              <w:top w:val="nil"/>
              <w:left w:val="single" w:color="auto" w:sz="4" w:space="0"/>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ascii="宋体" w:hAnsi="宋体" w:eastAsia="宋体" w:cs="宋体"/>
                <w:color w:val="000000"/>
                <w:sz w:val="20"/>
                <w:szCs w:val="20"/>
              </w:rPr>
              <w:t>3</w:t>
            </w:r>
          </w:p>
        </w:tc>
        <w:tc>
          <w:tcPr>
            <w:tcW w:w="2476"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Tahoma"/>
                <w:color w:val="000000"/>
              </w:rPr>
            </w:pPr>
            <w:r>
              <w:rPr>
                <w:rFonts w:hint="eastAsia" w:ascii="宋体" w:hAnsi="宋体" w:eastAsia="宋体" w:cs="Tahoma"/>
                <w:color w:val="000000"/>
              </w:rPr>
              <w:t>编制二、三次文献</w:t>
            </w:r>
          </w:p>
        </w:tc>
        <w:tc>
          <w:tcPr>
            <w:tcW w:w="1221" w:type="dxa"/>
            <w:tcBorders>
              <w:top w:val="nil"/>
              <w:left w:val="nil"/>
              <w:bottom w:val="single" w:color="auto" w:sz="4" w:space="0"/>
              <w:right w:val="single" w:color="auto" w:sz="4" w:space="0"/>
            </w:tcBorders>
            <w:shd w:val="clear" w:color="auto" w:fill="auto"/>
            <w:noWrap/>
            <w:vAlign w:val="bottom"/>
          </w:tcPr>
          <w:p>
            <w:pPr>
              <w:spacing w:line="360" w:lineRule="auto"/>
              <w:jc w:val="center"/>
              <w:rPr>
                <w:rFonts w:ascii="宋体" w:hAnsi="宋体" w:eastAsia="宋体" w:cs="宋体"/>
                <w:color w:val="000000"/>
                <w:sz w:val="20"/>
                <w:szCs w:val="20"/>
              </w:rPr>
            </w:pPr>
            <w:r>
              <w:rPr>
                <w:rFonts w:hint="eastAsia" w:ascii="宋体" w:hAnsi="宋体" w:eastAsia="宋体" w:cs="宋体"/>
                <w:color w:val="000000"/>
                <w:sz w:val="20"/>
                <w:szCs w:val="20"/>
              </w:rPr>
              <w:t>2种</w:t>
            </w:r>
          </w:p>
        </w:tc>
      </w:tr>
    </w:tbl>
    <w:p>
      <w:pPr>
        <w:widowControl/>
        <w:adjustRightInd w:val="0"/>
        <w:snapToGrid w:val="0"/>
        <w:spacing w:after="200" w:line="360" w:lineRule="auto"/>
        <w:jc w:val="center"/>
        <w:rPr>
          <w:rFonts w:ascii="微软雅黑" w:hAnsi="微软雅黑" w:eastAsia="微软雅黑"/>
          <w:b/>
          <w:szCs w:val="21"/>
        </w:rPr>
      </w:pPr>
    </w:p>
    <w:p>
      <w:pPr>
        <w:widowControl/>
        <w:adjustRightInd w:val="0"/>
        <w:snapToGrid w:val="0"/>
        <w:spacing w:after="200" w:line="360" w:lineRule="auto"/>
        <w:jc w:val="center"/>
        <w:rPr>
          <w:rFonts w:ascii="微软雅黑" w:hAnsi="微软雅黑" w:eastAsia="微软雅黑"/>
          <w:b/>
          <w:szCs w:val="21"/>
        </w:rPr>
      </w:pPr>
      <w:r>
        <w:rPr>
          <w:rFonts w:hint="eastAsia" w:ascii="微软雅黑" w:hAnsi="微软雅黑" w:eastAsia="微软雅黑"/>
          <w:b/>
          <w:szCs w:val="21"/>
        </w:rPr>
        <w:t>专题咨询</w:t>
      </w:r>
    </w:p>
    <w:tbl>
      <w:tblPr>
        <w:tblStyle w:val="7"/>
        <w:tblW w:w="5238" w:type="dxa"/>
        <w:jc w:val="center"/>
        <w:tblLayout w:type="autofit"/>
        <w:tblCellMar>
          <w:top w:w="0" w:type="dxa"/>
          <w:left w:w="108" w:type="dxa"/>
          <w:bottom w:w="0" w:type="dxa"/>
          <w:right w:w="108" w:type="dxa"/>
        </w:tblCellMar>
      </w:tblPr>
      <w:tblGrid>
        <w:gridCol w:w="1553"/>
        <w:gridCol w:w="2126"/>
        <w:gridCol w:w="1559"/>
      </w:tblGrid>
      <w:tr>
        <w:tblPrEx>
          <w:tblCellMar>
            <w:top w:w="0" w:type="dxa"/>
            <w:left w:w="108" w:type="dxa"/>
            <w:bottom w:w="0" w:type="dxa"/>
            <w:right w:w="108" w:type="dxa"/>
          </w:tblCellMar>
        </w:tblPrEx>
        <w:trPr>
          <w:trHeight w:val="285" w:hRule="atLeast"/>
          <w:jc w:val="center"/>
        </w:trPr>
        <w:tc>
          <w:tcPr>
            <w:tcW w:w="1553" w:type="dxa"/>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项 目</w:t>
            </w:r>
          </w:p>
        </w:tc>
        <w:tc>
          <w:tcPr>
            <w:tcW w:w="2126" w:type="dxa"/>
            <w:tcBorders>
              <w:top w:val="single" w:color="auto" w:sz="8" w:space="0"/>
              <w:left w:val="nil"/>
              <w:bottom w:val="single" w:color="auto" w:sz="4" w:space="0"/>
              <w:right w:val="single" w:color="auto" w:sz="4"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时 间</w:t>
            </w:r>
          </w:p>
        </w:tc>
        <w:tc>
          <w:tcPr>
            <w:tcW w:w="1559" w:type="dxa"/>
            <w:tcBorders>
              <w:top w:val="single" w:color="auto" w:sz="8" w:space="0"/>
              <w:left w:val="nil"/>
              <w:bottom w:val="single" w:color="auto" w:sz="4" w:space="0"/>
              <w:right w:val="single" w:color="auto" w:sz="8" w:space="0"/>
            </w:tcBorders>
            <w:shd w:val="clear" w:color="auto" w:fill="auto"/>
            <w:noWrap/>
            <w:vAlign w:val="center"/>
          </w:tcPr>
          <w:p>
            <w:pPr>
              <w:spacing w:line="360" w:lineRule="auto"/>
              <w:ind w:firstLine="422"/>
              <w:jc w:val="center"/>
              <w:rPr>
                <w:rFonts w:ascii="宋体" w:hAnsi="宋体" w:eastAsia="宋体" w:cs="宋体"/>
                <w:b/>
                <w:bCs/>
                <w:color w:val="000000"/>
                <w:szCs w:val="21"/>
              </w:rPr>
            </w:pPr>
            <w:r>
              <w:rPr>
                <w:rFonts w:hint="eastAsia" w:ascii="宋体" w:hAnsi="宋体" w:eastAsia="宋体" w:cs="宋体"/>
                <w:b/>
                <w:bCs/>
                <w:color w:val="000000"/>
                <w:szCs w:val="21"/>
              </w:rPr>
              <w:t>地 点</w:t>
            </w:r>
          </w:p>
        </w:tc>
      </w:tr>
      <w:tr>
        <w:tblPrEx>
          <w:tblCellMar>
            <w:top w:w="0" w:type="dxa"/>
            <w:left w:w="108" w:type="dxa"/>
            <w:bottom w:w="0" w:type="dxa"/>
            <w:right w:w="108" w:type="dxa"/>
          </w:tblCellMar>
        </w:tblPrEx>
        <w:trPr>
          <w:trHeight w:val="585" w:hRule="atLeast"/>
          <w:jc w:val="center"/>
        </w:trPr>
        <w:tc>
          <w:tcPr>
            <w:tcW w:w="1553" w:type="dxa"/>
            <w:tcBorders>
              <w:top w:val="nil"/>
              <w:left w:val="single" w:color="auto" w:sz="8" w:space="0"/>
              <w:bottom w:val="single" w:color="auto" w:sz="8" w:space="0"/>
              <w:right w:val="single" w:color="auto" w:sz="4"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法律咨询</w:t>
            </w:r>
          </w:p>
        </w:tc>
        <w:tc>
          <w:tcPr>
            <w:tcW w:w="2126" w:type="dxa"/>
            <w:tcBorders>
              <w:top w:val="nil"/>
              <w:left w:val="nil"/>
              <w:bottom w:val="single" w:color="auto" w:sz="8" w:space="0"/>
              <w:right w:val="single" w:color="auto" w:sz="4" w:space="0"/>
            </w:tcBorders>
            <w:shd w:val="clear" w:color="auto" w:fill="auto"/>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 xml:space="preserve">每周六下午    </w:t>
            </w:r>
          </w:p>
          <w:p>
            <w:pPr>
              <w:spacing w:line="360" w:lineRule="auto"/>
              <w:jc w:val="center"/>
              <w:rPr>
                <w:rFonts w:eastAsia="宋体" w:cs="Tahoma"/>
                <w:color w:val="000000"/>
              </w:rPr>
            </w:pPr>
            <w:r>
              <w:rPr>
                <w:rFonts w:ascii="宋体" w:hAnsi="宋体" w:eastAsia="宋体" w:cs="宋体"/>
                <w:color w:val="000000"/>
                <w:sz w:val="20"/>
                <w:szCs w:val="20"/>
              </w:rPr>
              <w:t>13</w:t>
            </w:r>
            <w:r>
              <w:rPr>
                <w:rFonts w:hint="eastAsia" w:ascii="宋体" w:hAnsi="宋体" w:eastAsia="宋体" w:cs="宋体"/>
                <w:color w:val="000000"/>
                <w:sz w:val="20"/>
                <w:szCs w:val="20"/>
              </w:rPr>
              <w:t>：</w:t>
            </w:r>
            <w:r>
              <w:rPr>
                <w:rFonts w:ascii="宋体" w:hAnsi="宋体" w:eastAsia="宋体" w:cs="宋体"/>
                <w:color w:val="000000"/>
                <w:sz w:val="20"/>
                <w:szCs w:val="20"/>
              </w:rPr>
              <w:t>00-15</w:t>
            </w:r>
            <w:r>
              <w:rPr>
                <w:rFonts w:hint="eastAsia" w:ascii="宋体" w:hAnsi="宋体" w:eastAsia="宋体" w:cs="宋体"/>
                <w:color w:val="000000"/>
                <w:sz w:val="20"/>
                <w:szCs w:val="20"/>
              </w:rPr>
              <w:t>：</w:t>
            </w:r>
            <w:r>
              <w:rPr>
                <w:rFonts w:ascii="宋体" w:hAnsi="宋体" w:eastAsia="宋体" w:cs="宋体"/>
                <w:color w:val="000000"/>
                <w:sz w:val="20"/>
                <w:szCs w:val="20"/>
              </w:rPr>
              <w:t>00</w:t>
            </w:r>
          </w:p>
        </w:tc>
        <w:tc>
          <w:tcPr>
            <w:tcW w:w="1559" w:type="dxa"/>
            <w:tcBorders>
              <w:top w:val="nil"/>
              <w:left w:val="nil"/>
              <w:bottom w:val="single" w:color="auto" w:sz="8" w:space="0"/>
              <w:right w:val="single" w:color="auto" w:sz="8" w:space="0"/>
            </w:tcBorders>
            <w:shd w:val="clear" w:color="auto" w:fill="auto"/>
            <w:noWrap/>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本馆一楼</w:t>
            </w:r>
          </w:p>
        </w:tc>
      </w:tr>
    </w:tbl>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r>
        <w:rPr>
          <w:rFonts w:ascii="微软雅黑" w:hAnsi="微软雅黑" w:eastAsia="微软雅黑"/>
          <w:b/>
          <w:szCs w:val="21"/>
        </w:rPr>
        <w:t>6</w:t>
      </w:r>
      <w:r>
        <w:rPr>
          <w:rFonts w:hint="eastAsia" w:ascii="微软雅黑" w:hAnsi="微软雅黑" w:eastAsia="微软雅黑"/>
          <w:b/>
          <w:szCs w:val="21"/>
        </w:rPr>
        <w:t>. 读者活动</w:t>
      </w:r>
    </w:p>
    <w:tbl>
      <w:tblPr>
        <w:tblStyle w:val="7"/>
        <w:tblW w:w="5000" w:type="pct"/>
        <w:tblInd w:w="0" w:type="dxa"/>
        <w:tblLayout w:type="fixed"/>
        <w:tblCellMar>
          <w:top w:w="0" w:type="dxa"/>
          <w:left w:w="108" w:type="dxa"/>
          <w:bottom w:w="0" w:type="dxa"/>
          <w:right w:w="108" w:type="dxa"/>
        </w:tblCellMar>
      </w:tblPr>
      <w:tblGrid>
        <w:gridCol w:w="2093"/>
        <w:gridCol w:w="4319"/>
        <w:gridCol w:w="1156"/>
        <w:gridCol w:w="954"/>
      </w:tblGrid>
      <w:tr>
        <w:tblPrEx>
          <w:tblCellMar>
            <w:top w:w="0" w:type="dxa"/>
            <w:left w:w="108" w:type="dxa"/>
            <w:bottom w:w="0" w:type="dxa"/>
            <w:right w:w="108" w:type="dxa"/>
          </w:tblCellMar>
        </w:tblPrEx>
        <w:trPr>
          <w:trHeight w:val="499" w:hRule="atLeast"/>
        </w:trPr>
        <w:tc>
          <w:tcPr>
            <w:tcW w:w="376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读者活动</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场次</w:t>
            </w:r>
          </w:p>
        </w:tc>
        <w:tc>
          <w:tcPr>
            <w:tcW w:w="56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b/>
                <w:bCs/>
                <w:szCs w:val="21"/>
              </w:rPr>
            </w:pPr>
            <w:r>
              <w:rPr>
                <w:rFonts w:hint="eastAsia" w:ascii="宋体" w:hAnsi="宋体" w:cs="宋体"/>
                <w:b/>
                <w:bCs/>
                <w:szCs w:val="21"/>
              </w:rPr>
              <w:t>人次</w:t>
            </w:r>
          </w:p>
        </w:tc>
      </w:tr>
      <w:tr>
        <w:tblPrEx>
          <w:tblCellMar>
            <w:top w:w="0" w:type="dxa"/>
            <w:left w:w="108" w:type="dxa"/>
            <w:bottom w:w="0" w:type="dxa"/>
            <w:right w:w="108" w:type="dxa"/>
          </w:tblCellMar>
        </w:tblPrEx>
        <w:trPr>
          <w:trHeight w:val="499" w:hRule="atLeast"/>
        </w:trPr>
        <w:tc>
          <w:tcPr>
            <w:tcW w:w="376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公益文化讲座</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13</w:t>
            </w:r>
          </w:p>
        </w:tc>
        <w:tc>
          <w:tcPr>
            <w:tcW w:w="56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1,345</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闵图妈妈小屋</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14</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11,854</w:t>
            </w:r>
          </w:p>
        </w:tc>
      </w:tr>
      <w:tr>
        <w:tblPrEx>
          <w:tblCellMar>
            <w:top w:w="0" w:type="dxa"/>
            <w:left w:w="108" w:type="dxa"/>
            <w:bottom w:w="0" w:type="dxa"/>
            <w:right w:w="108" w:type="dxa"/>
          </w:tblCellMar>
        </w:tblPrEx>
        <w:trPr>
          <w:trHeight w:val="499" w:hRule="atLeast"/>
        </w:trPr>
        <w:tc>
          <w:tcPr>
            <w:tcW w:w="376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敏读会</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w:t>
            </w:r>
          </w:p>
        </w:tc>
        <w:tc>
          <w:tcPr>
            <w:tcW w:w="56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110</w:t>
            </w:r>
          </w:p>
        </w:tc>
      </w:tr>
      <w:tr>
        <w:tblPrEx>
          <w:tblCellMar>
            <w:top w:w="0" w:type="dxa"/>
            <w:left w:w="108" w:type="dxa"/>
            <w:bottom w:w="0" w:type="dxa"/>
            <w:right w:w="108" w:type="dxa"/>
          </w:tblCellMar>
        </w:tblPrEx>
        <w:trPr>
          <w:trHeight w:val="499" w:hRule="atLeast"/>
        </w:trPr>
        <w:tc>
          <w:tcPr>
            <w:tcW w:w="376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阅读马拉松</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w:t>
            </w:r>
          </w:p>
        </w:tc>
        <w:tc>
          <w:tcPr>
            <w:tcW w:w="56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350</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“防疫照片+视频+语录”线上征集活动</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80</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“4•23 探寻传统文化 品味经典书韵”线上竞答活动</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1,000</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英语角</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47</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摄影技艺交流</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1班次</w:t>
            </w:r>
          </w:p>
          <w:p>
            <w:pPr>
              <w:spacing w:line="360" w:lineRule="auto"/>
              <w:jc w:val="center"/>
              <w:rPr>
                <w:rFonts w:ascii="宋体" w:hAnsi="宋体" w:cs="宋体"/>
                <w:szCs w:val="21"/>
              </w:rPr>
            </w:pPr>
            <w:r>
              <w:rPr>
                <w:rFonts w:hint="eastAsia" w:ascii="宋体" w:hAnsi="宋体" w:cs="宋体"/>
                <w:szCs w:val="21"/>
              </w:rPr>
              <w:t>（2场次）</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51</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数码图片处理沙龙</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1班次</w:t>
            </w:r>
          </w:p>
          <w:p>
            <w:pPr>
              <w:spacing w:line="360" w:lineRule="auto"/>
              <w:jc w:val="center"/>
              <w:rPr>
                <w:rFonts w:ascii="宋体" w:hAnsi="宋体" w:cs="宋体"/>
                <w:szCs w:val="21"/>
              </w:rPr>
            </w:pPr>
            <w:r>
              <w:rPr>
                <w:rFonts w:hint="eastAsia" w:ascii="宋体" w:hAnsi="宋体" w:cs="宋体"/>
                <w:szCs w:val="21"/>
              </w:rPr>
              <w:t>（4场次）</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87</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快乐“六一”</w:t>
            </w:r>
            <w:r>
              <w:rPr>
                <w:rFonts w:ascii="宋体" w:hAnsi="宋体" w:cs="宋体"/>
                <w:szCs w:val="21"/>
              </w:rPr>
              <w:t>•</w:t>
            </w:r>
            <w:r>
              <w:rPr>
                <w:rFonts w:hint="eastAsia" w:ascii="宋体" w:hAnsi="宋体" w:cs="宋体"/>
                <w:szCs w:val="21"/>
              </w:rPr>
              <w:t>编程“粽”动员少儿编程直播课</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2,070</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“新桃换旧符，书香盈岁月”线上展览</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393</w:t>
            </w:r>
          </w:p>
        </w:tc>
      </w:tr>
      <w:tr>
        <w:tblPrEx>
          <w:tblCellMar>
            <w:top w:w="0" w:type="dxa"/>
            <w:left w:w="108" w:type="dxa"/>
            <w:bottom w:w="0" w:type="dxa"/>
            <w:right w:w="108" w:type="dxa"/>
          </w:tblCellMar>
        </w:tblPrEx>
        <w:trPr>
          <w:trHeight w:val="499" w:hRule="atLeast"/>
        </w:trPr>
        <w:tc>
          <w:tcPr>
            <w:tcW w:w="122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童话节</w:t>
            </w:r>
          </w:p>
        </w:tc>
        <w:tc>
          <w:tcPr>
            <w:tcW w:w="2534" w:type="pct"/>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亲子朗读声音档案大征集</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1</w:t>
            </w:r>
          </w:p>
        </w:tc>
        <w:tc>
          <w:tcPr>
            <w:tcW w:w="560" w:type="pct"/>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50</w:t>
            </w:r>
          </w:p>
        </w:tc>
      </w:tr>
      <w:tr>
        <w:tblPrEx>
          <w:tblCellMar>
            <w:top w:w="0" w:type="dxa"/>
            <w:left w:w="108" w:type="dxa"/>
            <w:bottom w:w="0" w:type="dxa"/>
            <w:right w:w="108" w:type="dxa"/>
          </w:tblCellMar>
        </w:tblPrEx>
        <w:trPr>
          <w:trHeight w:val="499" w:hRule="atLeast"/>
        </w:trPr>
        <w:tc>
          <w:tcPr>
            <w:tcW w:w="12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534"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快乐“六一”•编程“粽”动员</w:t>
            </w:r>
          </w:p>
          <w:p>
            <w:pPr>
              <w:jc w:val="center"/>
              <w:rPr>
                <w:rFonts w:ascii="宋体" w:hAnsi="宋体" w:cs="宋体"/>
                <w:szCs w:val="21"/>
              </w:rPr>
            </w:pPr>
            <w:r>
              <w:rPr>
                <w:rFonts w:hint="eastAsia" w:ascii="宋体" w:hAnsi="宋体" w:cs="宋体"/>
                <w:szCs w:val="21"/>
              </w:rPr>
              <w:t>少儿编程线上竞赛</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2,000</w:t>
            </w:r>
          </w:p>
        </w:tc>
      </w:tr>
      <w:tr>
        <w:tblPrEx>
          <w:tblCellMar>
            <w:top w:w="0" w:type="dxa"/>
            <w:left w:w="108" w:type="dxa"/>
            <w:bottom w:w="0" w:type="dxa"/>
            <w:right w:w="108" w:type="dxa"/>
          </w:tblCellMar>
        </w:tblPrEx>
        <w:trPr>
          <w:trHeight w:val="499" w:hRule="atLeast"/>
        </w:trPr>
        <w:tc>
          <w:tcPr>
            <w:tcW w:w="122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市民文化节</w:t>
            </w:r>
          </w:p>
        </w:tc>
        <w:tc>
          <w:tcPr>
            <w:tcW w:w="2534"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“海上美谈”市民演讲大赛活动</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30</w:t>
            </w:r>
          </w:p>
        </w:tc>
      </w:tr>
      <w:tr>
        <w:tblPrEx>
          <w:tblCellMar>
            <w:top w:w="0" w:type="dxa"/>
            <w:left w:w="108" w:type="dxa"/>
            <w:bottom w:w="0" w:type="dxa"/>
            <w:right w:w="108" w:type="dxa"/>
          </w:tblCellMar>
        </w:tblPrEx>
        <w:trPr>
          <w:trHeight w:val="499" w:hRule="atLeast"/>
        </w:trPr>
        <w:tc>
          <w:tcPr>
            <w:tcW w:w="12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534"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“我的健康我做主”市民健康知识大赛</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1,000</w:t>
            </w:r>
          </w:p>
        </w:tc>
      </w:tr>
      <w:tr>
        <w:tblPrEx>
          <w:tblCellMar>
            <w:top w:w="0" w:type="dxa"/>
            <w:left w:w="108" w:type="dxa"/>
            <w:bottom w:w="0" w:type="dxa"/>
            <w:right w:w="108" w:type="dxa"/>
          </w:tblCellMar>
        </w:tblPrEx>
        <w:trPr>
          <w:trHeight w:val="499" w:hRule="atLeast"/>
        </w:trPr>
        <w:tc>
          <w:tcPr>
            <w:tcW w:w="12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534"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青少年传统文化知识大赛</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900</w:t>
            </w:r>
          </w:p>
        </w:tc>
      </w:tr>
      <w:tr>
        <w:tblPrEx>
          <w:tblCellMar>
            <w:top w:w="0" w:type="dxa"/>
            <w:left w:w="108" w:type="dxa"/>
            <w:bottom w:w="0" w:type="dxa"/>
            <w:right w:w="108" w:type="dxa"/>
          </w:tblCellMar>
        </w:tblPrEx>
        <w:trPr>
          <w:trHeight w:val="499" w:hRule="atLeast"/>
        </w:trPr>
        <w:tc>
          <w:tcPr>
            <w:tcW w:w="122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p>
        </w:tc>
        <w:tc>
          <w:tcPr>
            <w:tcW w:w="2534" w:type="pct"/>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“全面奔小康”知识大赛</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560" w:type="pct"/>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5,000</w:t>
            </w:r>
          </w:p>
        </w:tc>
      </w:tr>
      <w:tr>
        <w:tblPrEx>
          <w:tblCellMar>
            <w:top w:w="0" w:type="dxa"/>
            <w:left w:w="108" w:type="dxa"/>
            <w:bottom w:w="0" w:type="dxa"/>
            <w:right w:w="108" w:type="dxa"/>
          </w:tblCellMar>
        </w:tblPrEx>
        <w:trPr>
          <w:trHeight w:val="499" w:hRule="atLeast"/>
        </w:trPr>
        <w:tc>
          <w:tcPr>
            <w:tcW w:w="3762" w:type="pct"/>
            <w:gridSpan w:val="2"/>
            <w:tcBorders>
              <w:top w:val="nil"/>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总计</w:t>
            </w: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47</w:t>
            </w:r>
          </w:p>
        </w:tc>
        <w:tc>
          <w:tcPr>
            <w:tcW w:w="560" w:type="pct"/>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Cs w:val="21"/>
              </w:rPr>
            </w:pPr>
            <w:r>
              <w:rPr>
                <w:rFonts w:hint="eastAsia" w:ascii="宋体" w:hAnsi="宋体" w:cs="宋体"/>
                <w:szCs w:val="21"/>
              </w:rPr>
              <w:t>26,367</w:t>
            </w:r>
          </w:p>
        </w:tc>
      </w:tr>
    </w:tbl>
    <w:p>
      <w:pPr>
        <w:spacing w:line="360" w:lineRule="auto"/>
        <w:rPr>
          <w:rFonts w:ascii="微软雅黑" w:hAnsi="微软雅黑" w:eastAsia="微软雅黑"/>
          <w:b/>
          <w:szCs w:val="21"/>
        </w:rPr>
      </w:pPr>
    </w:p>
    <w:p>
      <w:pPr>
        <w:widowControl/>
        <w:adjustRightInd w:val="0"/>
        <w:snapToGrid w:val="0"/>
        <w:spacing w:after="200" w:line="360" w:lineRule="auto"/>
        <w:jc w:val="left"/>
        <w:rPr>
          <w:rFonts w:ascii="微软雅黑" w:hAnsi="微软雅黑" w:eastAsia="微软雅黑"/>
          <w:b/>
          <w:szCs w:val="21"/>
        </w:rPr>
      </w:pPr>
      <w:r>
        <w:rPr>
          <w:rFonts w:ascii="微软雅黑" w:hAnsi="微软雅黑" w:eastAsia="微软雅黑"/>
          <w:b/>
          <w:szCs w:val="21"/>
        </w:rPr>
        <w:t>7</w:t>
      </w:r>
      <w:r>
        <w:rPr>
          <w:rFonts w:hint="eastAsia" w:ascii="微软雅黑" w:hAnsi="微软雅黑" w:eastAsia="微软雅黑"/>
          <w:b/>
          <w:szCs w:val="21"/>
        </w:rPr>
        <w:t>. 志愿者活动</w:t>
      </w:r>
    </w:p>
    <w:tbl>
      <w:tblPr>
        <w:tblStyle w:val="7"/>
        <w:tblW w:w="7694" w:type="dxa"/>
        <w:jc w:val="center"/>
        <w:tblLayout w:type="autofit"/>
        <w:tblCellMar>
          <w:top w:w="0" w:type="dxa"/>
          <w:left w:w="108" w:type="dxa"/>
          <w:bottom w:w="0" w:type="dxa"/>
          <w:right w:w="108" w:type="dxa"/>
        </w:tblCellMar>
      </w:tblPr>
      <w:tblGrid>
        <w:gridCol w:w="3162"/>
        <w:gridCol w:w="1437"/>
        <w:gridCol w:w="1080"/>
        <w:gridCol w:w="2015"/>
      </w:tblGrid>
      <w:tr>
        <w:tblPrEx>
          <w:tblCellMar>
            <w:top w:w="0" w:type="dxa"/>
            <w:left w:w="108" w:type="dxa"/>
            <w:bottom w:w="0" w:type="dxa"/>
            <w:right w:w="108" w:type="dxa"/>
          </w:tblCellMar>
        </w:tblPrEx>
        <w:trPr>
          <w:trHeight w:val="285" w:hRule="atLeast"/>
          <w:jc w:val="center"/>
        </w:trPr>
        <w:tc>
          <w:tcPr>
            <w:tcW w:w="3162" w:type="dxa"/>
            <w:tcBorders>
              <w:top w:val="single" w:color="auto" w:sz="4" w:space="0"/>
              <w:left w:val="single" w:color="auto" w:sz="4" w:space="0"/>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活动名称</w:t>
            </w:r>
          </w:p>
        </w:tc>
        <w:tc>
          <w:tcPr>
            <w:tcW w:w="1437"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参与人数</w:t>
            </w:r>
          </w:p>
        </w:tc>
        <w:tc>
          <w:tcPr>
            <w:tcW w:w="1080"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人次</w:t>
            </w:r>
          </w:p>
        </w:tc>
        <w:tc>
          <w:tcPr>
            <w:tcW w:w="2015" w:type="dxa"/>
            <w:tcBorders>
              <w:top w:val="single" w:color="auto" w:sz="4" w:space="0"/>
              <w:left w:val="nil"/>
              <w:bottom w:val="single" w:color="auto" w:sz="4" w:space="0"/>
              <w:right w:val="single" w:color="auto" w:sz="4" w:space="0"/>
            </w:tcBorders>
            <w:shd w:val="clear" w:color="auto" w:fill="auto"/>
            <w:noWrap/>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服务时长（小时）</w:t>
            </w:r>
          </w:p>
        </w:tc>
      </w:tr>
      <w:tr>
        <w:tblPrEx>
          <w:tblCellMar>
            <w:top w:w="0" w:type="dxa"/>
            <w:left w:w="108" w:type="dxa"/>
            <w:bottom w:w="0" w:type="dxa"/>
            <w:right w:w="108" w:type="dxa"/>
          </w:tblCellMar>
        </w:tblPrEx>
        <w:trPr>
          <w:trHeight w:val="567"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部门助理</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23</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184</w:t>
            </w:r>
          </w:p>
        </w:tc>
      </w:tr>
      <w:tr>
        <w:tblPrEx>
          <w:tblCellMar>
            <w:top w:w="0" w:type="dxa"/>
            <w:left w:w="108" w:type="dxa"/>
            <w:bottom w:w="0" w:type="dxa"/>
            <w:right w:w="108" w:type="dxa"/>
          </w:tblCellMar>
        </w:tblPrEx>
        <w:trPr>
          <w:trHeight w:val="567"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阵地服务</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w:t>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30</w:t>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240</w:t>
            </w:r>
          </w:p>
        </w:tc>
      </w:tr>
      <w:tr>
        <w:tblPrEx>
          <w:tblCellMar>
            <w:top w:w="0" w:type="dxa"/>
            <w:left w:w="108" w:type="dxa"/>
            <w:bottom w:w="0" w:type="dxa"/>
            <w:right w:w="108" w:type="dxa"/>
          </w:tblCellMar>
        </w:tblPrEx>
        <w:trPr>
          <w:trHeight w:val="567" w:hRule="atLeast"/>
          <w:jc w:val="center"/>
        </w:trPr>
        <w:tc>
          <w:tcPr>
            <w:tcW w:w="316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合计</w:t>
            </w:r>
          </w:p>
        </w:tc>
        <w:tc>
          <w:tcPr>
            <w:tcW w:w="1437"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=SUM(ABOVE) </w:instrText>
            </w:r>
            <w:r>
              <w:rPr>
                <w:rFonts w:ascii="宋体" w:hAnsi="宋体" w:cs="宋体"/>
                <w:szCs w:val="21"/>
              </w:rPr>
              <w:fldChar w:fldCharType="separate"/>
            </w:r>
            <w:r>
              <w:rPr>
                <w:rFonts w:ascii="宋体" w:hAnsi="宋体" w:cs="宋体"/>
                <w:szCs w:val="21"/>
              </w:rPr>
              <w:t>4</w:t>
            </w:r>
            <w:r>
              <w:rPr>
                <w:rFonts w:ascii="宋体" w:hAnsi="宋体" w:cs="宋体"/>
                <w:szCs w:val="21"/>
              </w:rPr>
              <w:fldChar w:fldCharType="end"/>
            </w:r>
          </w:p>
        </w:tc>
        <w:tc>
          <w:tcPr>
            <w:tcW w:w="1080"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=SUM(ABOVE) </w:instrText>
            </w:r>
            <w:r>
              <w:rPr>
                <w:rFonts w:ascii="宋体" w:hAnsi="宋体" w:cs="宋体"/>
                <w:szCs w:val="21"/>
              </w:rPr>
              <w:fldChar w:fldCharType="separate"/>
            </w:r>
            <w:r>
              <w:rPr>
                <w:rFonts w:ascii="宋体" w:hAnsi="宋体" w:cs="宋体"/>
                <w:szCs w:val="21"/>
              </w:rPr>
              <w:t>53</w:t>
            </w:r>
            <w:r>
              <w:rPr>
                <w:rFonts w:ascii="宋体" w:hAnsi="宋体" w:cs="宋体"/>
                <w:szCs w:val="21"/>
              </w:rPr>
              <w:fldChar w:fldCharType="end"/>
            </w:r>
          </w:p>
        </w:tc>
        <w:tc>
          <w:tcPr>
            <w:tcW w:w="2015" w:type="dxa"/>
            <w:tcBorders>
              <w:top w:val="nil"/>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ascii="宋体" w:hAnsi="宋体" w:cs="宋体"/>
                <w:szCs w:val="21"/>
              </w:rPr>
              <w:fldChar w:fldCharType="begin"/>
            </w:r>
            <w:r>
              <w:rPr>
                <w:rFonts w:ascii="宋体" w:hAnsi="宋体" w:cs="宋体"/>
                <w:szCs w:val="21"/>
              </w:rPr>
              <w:instrText xml:space="preserve"> =SUM(ABOVE) </w:instrText>
            </w:r>
            <w:r>
              <w:rPr>
                <w:rFonts w:ascii="宋体" w:hAnsi="宋体" w:cs="宋体"/>
                <w:szCs w:val="21"/>
              </w:rPr>
              <w:fldChar w:fldCharType="separate"/>
            </w:r>
            <w:r>
              <w:rPr>
                <w:rFonts w:ascii="宋体" w:hAnsi="宋体" w:cs="宋体"/>
                <w:szCs w:val="21"/>
              </w:rPr>
              <w:t>424</w:t>
            </w:r>
            <w:r>
              <w:rPr>
                <w:rFonts w:ascii="宋体" w:hAnsi="宋体" w:cs="宋体"/>
                <w:szCs w:val="21"/>
              </w:rPr>
              <w:fldChar w:fldCharType="end"/>
            </w:r>
          </w:p>
        </w:tc>
      </w:tr>
    </w:tbl>
    <w:p>
      <w:pPr>
        <w:spacing w:line="360" w:lineRule="auto"/>
        <w:rPr>
          <w:rFonts w:ascii="微软雅黑" w:hAnsi="微软雅黑" w:eastAsia="微软雅黑"/>
          <w:b/>
          <w:szCs w:val="21"/>
        </w:rPr>
      </w:pPr>
    </w:p>
    <w:p>
      <w:pPr>
        <w:spacing w:line="360" w:lineRule="auto"/>
        <w:rPr>
          <w:rFonts w:ascii="微软雅黑" w:hAnsi="微软雅黑" w:eastAsia="微软雅黑"/>
          <w:b/>
          <w:szCs w:val="21"/>
        </w:rPr>
      </w:pPr>
      <w:r>
        <w:rPr>
          <w:rFonts w:ascii="微软雅黑" w:hAnsi="微软雅黑" w:eastAsia="微软雅黑"/>
          <w:b/>
          <w:szCs w:val="21"/>
        </w:rPr>
        <w:t>8</w:t>
      </w:r>
      <w:r>
        <w:rPr>
          <w:rFonts w:hint="eastAsia" w:ascii="微软雅黑" w:hAnsi="微软雅黑" w:eastAsia="微软雅黑"/>
          <w:b/>
          <w:szCs w:val="21"/>
        </w:rPr>
        <w:t>. 媒体报道</w:t>
      </w:r>
    </w:p>
    <w:tbl>
      <w:tblPr>
        <w:tblStyle w:val="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652"/>
        <w:gridCol w:w="1843"/>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宣传</w:t>
            </w:r>
          </w:p>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日期</w:t>
            </w:r>
          </w:p>
        </w:tc>
        <w:tc>
          <w:tcPr>
            <w:tcW w:w="3652"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主题（名称）</w:t>
            </w:r>
          </w:p>
        </w:tc>
        <w:tc>
          <w:tcPr>
            <w:tcW w:w="1843"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宣传内容</w:t>
            </w:r>
          </w:p>
        </w:tc>
        <w:tc>
          <w:tcPr>
            <w:tcW w:w="1134"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媒体名称</w:t>
            </w:r>
          </w:p>
        </w:tc>
        <w:tc>
          <w:tcPr>
            <w:tcW w:w="992" w:type="dxa"/>
            <w:vAlign w:val="center"/>
          </w:tcPr>
          <w:p>
            <w:pPr>
              <w:spacing w:line="360" w:lineRule="auto"/>
              <w:jc w:val="center"/>
              <w:rPr>
                <w:rFonts w:ascii="宋体" w:hAnsi="宋体" w:eastAsia="宋体" w:cs="宋体"/>
                <w:b/>
                <w:bCs/>
                <w:color w:val="000000"/>
                <w:szCs w:val="21"/>
              </w:rPr>
            </w:pPr>
            <w:r>
              <w:rPr>
                <w:rFonts w:hint="eastAsia" w:ascii="宋体" w:hAnsi="宋体" w:eastAsia="宋体" w:cs="宋体"/>
                <w:b/>
                <w:bCs/>
                <w:color w:val="000000"/>
                <w:szCs w:val="21"/>
              </w:rPr>
              <w:t>媒体类型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8月9日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闵行市民请收下这份福利！家门口的书展等你来约</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新民晚报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8月11日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挺进商场！上海书展闵行分会场启动，家门口的盛夏阅读时光等你来约</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文汇报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8月11日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开在郊野公园的阅读新空间加入上海书展分会场豪华套餐</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上观新闻</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8月11日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视频｜2020上海书展闵行分会场启动仪式举行</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看看新闻Knews综合</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8月12日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让市民在家门口感受书展氛围，闵行50场活动干货满满</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青年报·青春上海</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8月12日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【上海书展】书香四溢！闵行阅读地图新鲜出炉，更多书展活动等你打卡</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上海学习平台</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8月14日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传播书香魅力 营造读书氛围</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东方城乡报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8月14日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“阅读地图”让书香漫闵行</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闵行报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34" w:type="dxa"/>
            <w:vAlign w:val="center"/>
          </w:tcPr>
          <w:p>
            <w:pPr>
              <w:spacing w:line="360" w:lineRule="auto"/>
              <w:jc w:val="center"/>
              <w:rPr>
                <w:rFonts w:ascii="宋体" w:hAnsi="宋体" w:eastAsia="宋体" w:cs="Tahoma"/>
                <w:color w:val="000000"/>
              </w:rPr>
            </w:pPr>
            <w:r>
              <w:rPr>
                <w:rFonts w:hint="eastAsia" w:ascii="宋体" w:hAnsi="宋体" w:eastAsia="宋体" w:cs="Tahoma"/>
                <w:color w:val="000000"/>
              </w:rPr>
              <w:t>8月16日</w:t>
            </w:r>
          </w:p>
        </w:tc>
        <w:tc>
          <w:tcPr>
            <w:tcW w:w="3652" w:type="dxa"/>
            <w:vAlign w:val="center"/>
          </w:tcPr>
          <w:p>
            <w:pPr>
              <w:jc w:val="left"/>
              <w:rPr>
                <w:rFonts w:ascii="宋体" w:hAnsi="宋体" w:eastAsia="宋体" w:cs="Tahoma"/>
                <w:color w:val="000000"/>
              </w:rPr>
            </w:pPr>
            <w:r>
              <w:rPr>
                <w:rFonts w:hint="eastAsia" w:ascii="宋体" w:hAnsi="宋体" w:eastAsia="宋体" w:cs="Tahoma"/>
                <w:color w:val="000000"/>
              </w:rPr>
              <w:t>圈住每颗心：商场大厅里读《论语》</w:t>
            </w:r>
          </w:p>
        </w:tc>
        <w:tc>
          <w:tcPr>
            <w:tcW w:w="1843" w:type="dxa"/>
            <w:vAlign w:val="center"/>
          </w:tcPr>
          <w:p>
            <w:pPr>
              <w:jc w:val="center"/>
              <w:rPr>
                <w:rFonts w:ascii="宋体" w:hAnsi="宋体" w:eastAsia="宋体" w:cs="Tahoma"/>
                <w:color w:val="000000"/>
              </w:rPr>
            </w:pPr>
            <w:r>
              <w:rPr>
                <w:rFonts w:hint="eastAsia" w:ascii="宋体" w:hAnsi="宋体" w:eastAsia="宋体" w:cs="Tahoma"/>
                <w:color w:val="000000"/>
              </w:rPr>
              <w:t>2020上海书展闵行分会场活动</w:t>
            </w:r>
          </w:p>
        </w:tc>
        <w:tc>
          <w:tcPr>
            <w:tcW w:w="1134" w:type="dxa"/>
            <w:vAlign w:val="center"/>
          </w:tcPr>
          <w:p>
            <w:pPr>
              <w:jc w:val="center"/>
              <w:rPr>
                <w:rFonts w:ascii="宋体" w:hAnsi="宋体" w:eastAsia="宋体" w:cs="Tahoma"/>
                <w:color w:val="000000"/>
              </w:rPr>
            </w:pPr>
            <w:r>
              <w:rPr>
                <w:rFonts w:hint="eastAsia" w:ascii="宋体" w:hAnsi="宋体" w:eastAsia="宋体" w:cs="Tahoma"/>
                <w:color w:val="000000"/>
              </w:rPr>
              <w:t>新民晚报</w:t>
            </w:r>
          </w:p>
        </w:tc>
        <w:tc>
          <w:tcPr>
            <w:tcW w:w="992" w:type="dxa"/>
            <w:vAlign w:val="center"/>
          </w:tcPr>
          <w:p>
            <w:pPr>
              <w:jc w:val="center"/>
              <w:rPr>
                <w:rFonts w:ascii="宋体" w:hAnsi="宋体" w:eastAsia="宋体" w:cs="Tahoma"/>
                <w:color w:val="000000"/>
              </w:rPr>
            </w:pPr>
            <w:r>
              <w:rPr>
                <w:rFonts w:hint="eastAsia" w:ascii="宋体" w:hAnsi="宋体" w:eastAsia="宋体" w:cs="Tahoma"/>
                <w:color w:val="000000"/>
              </w:rPr>
              <w:t xml:space="preserve">报纸 </w:t>
            </w:r>
          </w:p>
        </w:tc>
      </w:tr>
    </w:tbl>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rPr>
          <w:rFonts w:ascii="微软雅黑" w:hAnsi="微软雅黑" w:eastAsia="微软雅黑"/>
          <w:b/>
          <w:sz w:val="24"/>
          <w:szCs w:val="24"/>
        </w:rPr>
      </w:pPr>
    </w:p>
    <w:p>
      <w:pPr>
        <w:spacing w:line="360" w:lineRule="auto"/>
        <w:jc w:val="center"/>
        <w:rPr>
          <w:rFonts w:ascii="微软雅黑" w:hAnsi="微软雅黑" w:eastAsia="微软雅黑"/>
          <w:b/>
          <w:sz w:val="24"/>
          <w:szCs w:val="24"/>
        </w:rPr>
      </w:pPr>
      <w:r>
        <w:rPr>
          <w:rFonts w:hint="eastAsia" w:ascii="微软雅黑" w:hAnsi="微软雅黑" w:eastAsia="微软雅黑"/>
          <w:b/>
          <w:sz w:val="24"/>
          <w:szCs w:val="24"/>
          <w:lang w:eastAsia="zh-CN"/>
        </w:rPr>
        <w:t>九</w:t>
      </w:r>
      <w:r>
        <w:rPr>
          <w:rFonts w:hint="eastAsia" w:ascii="微软雅黑" w:hAnsi="微软雅黑" w:eastAsia="微软雅黑"/>
          <w:b/>
          <w:sz w:val="24"/>
          <w:szCs w:val="24"/>
        </w:rPr>
        <w:t>、获得表彰</w:t>
      </w:r>
      <w:bookmarkStart w:id="1" w:name="_GoBack"/>
      <w:bookmarkEnd w:id="1"/>
    </w:p>
    <w:p>
      <w:pPr>
        <w:spacing w:line="360" w:lineRule="auto"/>
        <w:rPr>
          <w:rFonts w:asciiTheme="minorEastAsia" w:hAnsiTheme="minorEastAsia"/>
          <w:szCs w:val="21"/>
        </w:rPr>
      </w:pPr>
      <w:r>
        <w:rPr>
          <w:rFonts w:hint="eastAsia" w:asciiTheme="minorEastAsia" w:hAnsiTheme="minorEastAsia"/>
          <w:szCs w:val="21"/>
        </w:rPr>
        <w:t>1、闵行区图书馆荣获全国100佳志愿服务组织“隐形的翅膀”公益志愿者联盟会员单位</w:t>
      </w:r>
    </w:p>
    <w:p>
      <w:pPr>
        <w:spacing w:line="360" w:lineRule="auto"/>
        <w:rPr>
          <w:rFonts w:asciiTheme="minorEastAsia" w:hAnsiTheme="minorEastAsia"/>
          <w:szCs w:val="21"/>
        </w:rPr>
      </w:pPr>
      <w:r>
        <w:rPr>
          <w:rFonts w:hint="eastAsia" w:asciiTheme="minorEastAsia" w:hAnsiTheme="minorEastAsia"/>
          <w:szCs w:val="21"/>
        </w:rPr>
        <w:t>——“隐形的翅膀”公益志愿者联盟，加盟期限：至2021年12月31日</w:t>
      </w:r>
    </w:p>
    <w:p>
      <w:pPr>
        <w:spacing w:line="360" w:lineRule="auto"/>
        <w:rPr>
          <w:rFonts w:asciiTheme="minorEastAsia" w:hAnsiTheme="minorEastAsia"/>
          <w:szCs w:val="21"/>
        </w:rPr>
      </w:pPr>
      <w:r>
        <w:rPr>
          <w:rFonts w:hint="eastAsia" w:asciiTheme="minorEastAsia" w:hAnsiTheme="minorEastAsia"/>
          <w:szCs w:val="21"/>
        </w:rPr>
        <w:t>2、闵行区图书馆荣获优秀馆藏图书馆育人奖</w:t>
      </w:r>
    </w:p>
    <w:p>
      <w:pPr>
        <w:spacing w:line="360" w:lineRule="auto"/>
        <w:rPr>
          <w:rFonts w:asciiTheme="minorEastAsia" w:hAnsiTheme="minorEastAsia"/>
          <w:szCs w:val="21"/>
        </w:rPr>
      </w:pPr>
      <w:r>
        <w:rPr>
          <w:rFonts w:hint="eastAsia" w:asciiTheme="minorEastAsia" w:hAnsiTheme="minorEastAsia"/>
          <w:szCs w:val="21"/>
        </w:rPr>
        <w:t>——人民邮电出版社有限公司2020年3月</w:t>
      </w:r>
    </w:p>
    <w:p>
      <w:pPr>
        <w:spacing w:line="360" w:lineRule="auto"/>
        <w:rPr>
          <w:rFonts w:asciiTheme="minorEastAsia" w:hAnsiTheme="minorEastAsia"/>
          <w:szCs w:val="21"/>
        </w:rPr>
      </w:pPr>
      <w:r>
        <w:rPr>
          <w:rFonts w:hint="eastAsia" w:asciiTheme="minorEastAsia" w:hAnsiTheme="minorEastAsia"/>
          <w:szCs w:val="21"/>
        </w:rPr>
        <w:t>3、闵行区图书馆“闵图妈妈小屋系列亲子阅读活动项目”荣获2020年全国文化和旅游志愿服务项目线上大赛三等奖</w:t>
      </w:r>
    </w:p>
    <w:p>
      <w:pPr>
        <w:spacing w:line="360" w:lineRule="auto"/>
        <w:rPr>
          <w:rFonts w:asciiTheme="minorEastAsia" w:hAnsiTheme="minorEastAsia"/>
          <w:szCs w:val="21"/>
        </w:rPr>
      </w:pPr>
      <w:r>
        <w:rPr>
          <w:rFonts w:hint="eastAsia" w:asciiTheme="minorEastAsia" w:hAnsiTheme="minorEastAsia"/>
          <w:szCs w:val="21"/>
        </w:rPr>
        <w:t>——中华人民共和国文化和旅游部2020年12月</w:t>
      </w:r>
    </w:p>
    <w:p>
      <w:pPr>
        <w:spacing w:line="360" w:lineRule="auto"/>
        <w:rPr>
          <w:rFonts w:asciiTheme="minorEastAsia" w:hAnsiTheme="minorEastAsia"/>
          <w:szCs w:val="21"/>
        </w:rPr>
      </w:pPr>
      <w:r>
        <w:rPr>
          <w:rFonts w:hint="eastAsia" w:asciiTheme="minorEastAsia" w:hAnsiTheme="minorEastAsia"/>
          <w:szCs w:val="21"/>
        </w:rPr>
        <w:t>4、闵行区图书馆荣获2020年文化部公共数字文化工程先进集体</w:t>
      </w:r>
    </w:p>
    <w:p>
      <w:pPr>
        <w:spacing w:line="360" w:lineRule="auto"/>
        <w:rPr>
          <w:rFonts w:asciiTheme="minorEastAsia" w:hAnsiTheme="minorEastAsia"/>
          <w:szCs w:val="21"/>
        </w:rPr>
      </w:pPr>
      <w:r>
        <w:rPr>
          <w:rFonts w:hint="eastAsia" w:asciiTheme="minorEastAsia" w:hAnsiTheme="minorEastAsia"/>
          <w:szCs w:val="21"/>
        </w:rPr>
        <w:t>——全国文化信息资源共享工程上海市分中心2020年12月</w:t>
      </w:r>
    </w:p>
    <w:p>
      <w:pPr>
        <w:spacing w:line="360" w:lineRule="auto"/>
        <w:rPr>
          <w:rFonts w:asciiTheme="minorEastAsia" w:hAnsiTheme="minorEastAsia"/>
          <w:szCs w:val="21"/>
        </w:rPr>
      </w:pPr>
      <w:r>
        <w:rPr>
          <w:rFonts w:hint="eastAsia" w:asciiTheme="minorEastAsia" w:hAnsiTheme="minorEastAsia"/>
          <w:szCs w:val="21"/>
        </w:rPr>
        <w:t>5、闵行区图书馆荣获化学工业出版社有限公司2020年度馆藏评选活动万卷书香奖</w:t>
      </w:r>
    </w:p>
    <w:p>
      <w:pPr>
        <w:spacing w:line="360" w:lineRule="auto"/>
        <w:rPr>
          <w:rFonts w:asciiTheme="minorEastAsia" w:hAnsiTheme="minorEastAsia"/>
          <w:szCs w:val="21"/>
        </w:rPr>
      </w:pPr>
      <w:r>
        <w:rPr>
          <w:rFonts w:hint="eastAsia" w:asciiTheme="minorEastAsia" w:hAnsiTheme="minorEastAsia"/>
          <w:szCs w:val="21"/>
        </w:rPr>
        <w:t>——化学工业出版社有限公司2020年12月</w:t>
      </w:r>
    </w:p>
    <w:p>
      <w:pPr>
        <w:spacing w:line="360" w:lineRule="auto"/>
        <w:rPr>
          <w:rFonts w:asciiTheme="minorEastAsia" w:hAnsiTheme="minorEastAsia"/>
          <w:szCs w:val="21"/>
        </w:rPr>
      </w:pPr>
      <w:r>
        <w:rPr>
          <w:rFonts w:hint="eastAsia" w:asciiTheme="minorEastAsia" w:hAnsiTheme="minorEastAsia"/>
          <w:szCs w:val="21"/>
        </w:rPr>
        <w:t>6、胡莹荣获《顺应用户需求变化的公共图书馆资源建设——以上海市闵行区图书馆为例》荣获《当代图书馆》2019年优秀论</w:t>
      </w:r>
    </w:p>
    <w:p>
      <w:pPr>
        <w:spacing w:line="360" w:lineRule="auto"/>
        <w:rPr>
          <w:rFonts w:asciiTheme="minorEastAsia" w:hAnsiTheme="minorEastAsia"/>
          <w:szCs w:val="21"/>
        </w:rPr>
      </w:pPr>
      <w:r>
        <w:rPr>
          <w:rFonts w:hint="eastAsia" w:asciiTheme="minorEastAsia" w:hAnsiTheme="minorEastAsia"/>
          <w:szCs w:val="21"/>
        </w:rPr>
        <w:t>——《当代图书馆》编辑部2020年1月</w:t>
      </w:r>
    </w:p>
    <w:p>
      <w:pPr>
        <w:spacing w:line="360" w:lineRule="auto"/>
        <w:rPr>
          <w:rFonts w:asciiTheme="minorEastAsia" w:hAnsiTheme="minorEastAsia"/>
          <w:szCs w:val="21"/>
        </w:rPr>
      </w:pPr>
      <w:r>
        <w:rPr>
          <w:rFonts w:hint="eastAsia" w:asciiTheme="minorEastAsia" w:hAnsiTheme="minorEastAsia"/>
          <w:szCs w:val="21"/>
        </w:rPr>
        <w:t>7、闵行区图书馆荣获“快乐六一编程粽动员”少儿编程线上竞赛优秀组织奖</w:t>
      </w:r>
    </w:p>
    <w:p>
      <w:pPr>
        <w:spacing w:line="360" w:lineRule="auto"/>
        <w:rPr>
          <w:rFonts w:asciiTheme="minorEastAsia" w:hAnsiTheme="minorEastAsia"/>
          <w:szCs w:val="21"/>
        </w:rPr>
      </w:pPr>
      <w:r>
        <w:rPr>
          <w:rFonts w:hint="eastAsia" w:asciiTheme="minorEastAsia" w:hAnsiTheme="minorEastAsia"/>
          <w:szCs w:val="21"/>
        </w:rPr>
        <w:t>——上海少年儿童图书馆2020年7月</w:t>
      </w:r>
    </w:p>
    <w:p>
      <w:pPr>
        <w:spacing w:line="360" w:lineRule="auto"/>
        <w:rPr>
          <w:rFonts w:asciiTheme="minorEastAsia" w:hAnsiTheme="minorEastAsia"/>
          <w:szCs w:val="21"/>
        </w:rPr>
      </w:pPr>
      <w:r>
        <w:rPr>
          <w:rFonts w:hint="eastAsia" w:asciiTheme="minorEastAsia" w:hAnsiTheme="minorEastAsia"/>
          <w:szCs w:val="21"/>
        </w:rPr>
        <w:t>8、闵行区图书馆荣获上海市民文化节优秀市民美育项目</w:t>
      </w:r>
    </w:p>
    <w:p>
      <w:pPr>
        <w:spacing w:line="360" w:lineRule="auto"/>
        <w:rPr>
          <w:rFonts w:asciiTheme="minorEastAsia" w:hAnsiTheme="minorEastAsia"/>
          <w:szCs w:val="21"/>
        </w:rPr>
      </w:pPr>
      <w:r>
        <w:rPr>
          <w:rFonts w:hint="eastAsia" w:asciiTheme="minorEastAsia" w:hAnsiTheme="minorEastAsia"/>
          <w:szCs w:val="21"/>
        </w:rPr>
        <w:t>——上海市民文化节指导委员会秘书处2020年7月</w:t>
      </w:r>
    </w:p>
    <w:p>
      <w:pPr>
        <w:spacing w:line="360" w:lineRule="auto"/>
        <w:rPr>
          <w:rFonts w:asciiTheme="minorEastAsia" w:hAnsiTheme="minorEastAsia"/>
          <w:szCs w:val="21"/>
        </w:rPr>
      </w:pPr>
      <w:r>
        <w:rPr>
          <w:rFonts w:hint="eastAsia" w:asciiTheme="minorEastAsia" w:hAnsiTheme="minorEastAsia"/>
          <w:szCs w:val="21"/>
        </w:rPr>
        <w:t>9、张劲芳荣获2019年上海市民文化节优秀工作奖</w:t>
      </w:r>
    </w:p>
    <w:p>
      <w:pPr>
        <w:spacing w:line="360" w:lineRule="auto"/>
        <w:rPr>
          <w:rFonts w:asciiTheme="minorEastAsia" w:hAnsiTheme="minorEastAsia"/>
          <w:szCs w:val="21"/>
        </w:rPr>
      </w:pPr>
      <w:r>
        <w:rPr>
          <w:rFonts w:hint="eastAsia" w:asciiTheme="minorEastAsia" w:hAnsiTheme="minorEastAsia"/>
          <w:szCs w:val="21"/>
        </w:rPr>
        <w:t>——上海市民文化节指导委员会秘书处2020年7月</w:t>
      </w:r>
    </w:p>
    <w:p>
      <w:pPr>
        <w:spacing w:line="360" w:lineRule="auto"/>
        <w:rPr>
          <w:rFonts w:asciiTheme="minorEastAsia" w:hAnsiTheme="minorEastAsia"/>
          <w:szCs w:val="21"/>
        </w:rPr>
      </w:pPr>
      <w:r>
        <w:rPr>
          <w:rFonts w:hint="eastAsia" w:asciiTheme="minorEastAsia" w:hAnsiTheme="minorEastAsia"/>
          <w:szCs w:val="21"/>
        </w:rPr>
        <w:t>10、闵行区图书馆荣获2020年上海书展暨“书香中国”上海周优秀上海分会场</w:t>
      </w:r>
    </w:p>
    <w:p>
      <w:pPr>
        <w:spacing w:line="360" w:lineRule="auto"/>
        <w:rPr>
          <w:rFonts w:asciiTheme="minorEastAsia" w:hAnsiTheme="minorEastAsia"/>
          <w:szCs w:val="21"/>
        </w:rPr>
      </w:pPr>
      <w:r>
        <w:rPr>
          <w:rFonts w:hint="eastAsia" w:asciiTheme="minorEastAsia" w:hAnsiTheme="minorEastAsia"/>
          <w:szCs w:val="21"/>
        </w:rPr>
        <w:t>——上海市新闻出版局 上海书展暨“书香中国”上海周指导委员会2020年9月</w:t>
      </w:r>
    </w:p>
    <w:p>
      <w:pPr>
        <w:spacing w:line="360" w:lineRule="auto"/>
        <w:rPr>
          <w:rFonts w:asciiTheme="minorEastAsia" w:hAnsiTheme="minorEastAsia"/>
          <w:szCs w:val="21"/>
        </w:rPr>
      </w:pPr>
      <w:r>
        <w:rPr>
          <w:rFonts w:hint="eastAsia" w:asciiTheme="minorEastAsia" w:hAnsiTheme="minorEastAsia"/>
          <w:szCs w:val="21"/>
        </w:rPr>
        <w:t>11、闵行区图书馆荣获2020上海童话节优秀组织奖</w:t>
      </w:r>
    </w:p>
    <w:p>
      <w:pPr>
        <w:spacing w:line="360" w:lineRule="auto"/>
        <w:rPr>
          <w:rFonts w:asciiTheme="minorEastAsia" w:hAnsiTheme="minorEastAsia"/>
          <w:szCs w:val="21"/>
        </w:rPr>
      </w:pPr>
      <w:r>
        <w:rPr>
          <w:rFonts w:hint="eastAsia" w:asciiTheme="minorEastAsia" w:hAnsiTheme="minorEastAsia"/>
          <w:szCs w:val="21"/>
        </w:rPr>
        <w:t>——上海少年儿童图书馆2020年10月</w:t>
      </w:r>
    </w:p>
    <w:p>
      <w:pPr>
        <w:spacing w:line="360" w:lineRule="auto"/>
        <w:rPr>
          <w:rFonts w:asciiTheme="minorEastAsia" w:hAnsiTheme="minorEastAsia"/>
          <w:szCs w:val="21"/>
        </w:rPr>
      </w:pPr>
      <w:r>
        <w:rPr>
          <w:rFonts w:hint="eastAsia" w:asciiTheme="minorEastAsia" w:hAnsiTheme="minorEastAsia"/>
          <w:szCs w:val="21"/>
        </w:rPr>
        <w:t>12、闵行区图书馆荣获2020年上海市中心图书馆“新媒体影响力奖”</w:t>
      </w:r>
    </w:p>
    <w:p>
      <w:pPr>
        <w:spacing w:line="360" w:lineRule="auto"/>
        <w:rPr>
          <w:rFonts w:asciiTheme="minorEastAsia" w:hAnsiTheme="minorEastAsia"/>
          <w:szCs w:val="21"/>
        </w:rPr>
      </w:pPr>
      <w:r>
        <w:rPr>
          <w:rFonts w:hint="eastAsia" w:asciiTheme="minorEastAsia" w:hAnsiTheme="minorEastAsia"/>
          <w:szCs w:val="21"/>
        </w:rPr>
        <w:t>——上海市文献资源共建共享写作指导委员会办公室2020年12月</w:t>
      </w:r>
    </w:p>
    <w:p>
      <w:pPr>
        <w:spacing w:line="360" w:lineRule="auto"/>
        <w:rPr>
          <w:rFonts w:asciiTheme="minorEastAsia" w:hAnsiTheme="minorEastAsia"/>
          <w:szCs w:val="21"/>
        </w:rPr>
      </w:pPr>
      <w:r>
        <w:rPr>
          <w:rFonts w:hint="eastAsia" w:asciiTheme="minorEastAsia" w:hAnsiTheme="minorEastAsia"/>
          <w:szCs w:val="21"/>
        </w:rPr>
        <w:t>13、闵行区图书馆荣获2020年上海市中心图书馆“优秀组织奖”</w:t>
      </w:r>
    </w:p>
    <w:p>
      <w:pPr>
        <w:spacing w:line="360" w:lineRule="auto"/>
        <w:rPr>
          <w:rFonts w:asciiTheme="minorEastAsia" w:hAnsiTheme="minorEastAsia"/>
          <w:szCs w:val="21"/>
        </w:rPr>
      </w:pPr>
      <w:r>
        <w:rPr>
          <w:rFonts w:hint="eastAsia" w:asciiTheme="minorEastAsia" w:hAnsiTheme="minorEastAsia"/>
          <w:szCs w:val="21"/>
        </w:rPr>
        <w:t>——上海市文献资源共建共享写作指导委员会办公室2020年12月</w:t>
      </w:r>
    </w:p>
    <w:p>
      <w:pPr>
        <w:spacing w:line="360" w:lineRule="auto"/>
        <w:rPr>
          <w:rFonts w:asciiTheme="minorEastAsia" w:hAnsiTheme="minorEastAsia"/>
          <w:szCs w:val="21"/>
        </w:rPr>
      </w:pPr>
      <w:r>
        <w:rPr>
          <w:rFonts w:hint="eastAsia" w:asciiTheme="minorEastAsia" w:hAnsiTheme="minorEastAsia"/>
          <w:szCs w:val="21"/>
        </w:rPr>
        <w:t>14、闵行区图书馆荣获上海市中心图书馆第四届职工岗新技能大赛中荣获微视频比赛团体组最佳组织奖</w:t>
      </w:r>
    </w:p>
    <w:p>
      <w:pPr>
        <w:spacing w:line="360" w:lineRule="auto"/>
        <w:rPr>
          <w:rFonts w:asciiTheme="minorEastAsia" w:hAnsiTheme="minorEastAsia"/>
          <w:szCs w:val="21"/>
        </w:rPr>
      </w:pPr>
      <w:r>
        <w:rPr>
          <w:rFonts w:hint="eastAsia" w:asciiTheme="minorEastAsia" w:hAnsiTheme="minorEastAsia"/>
          <w:szCs w:val="21"/>
        </w:rPr>
        <w:t>——上海市中心图书馆办公室2020年12月</w:t>
      </w:r>
    </w:p>
    <w:p>
      <w:pPr>
        <w:spacing w:line="360" w:lineRule="auto"/>
        <w:rPr>
          <w:rFonts w:asciiTheme="minorEastAsia" w:hAnsiTheme="minorEastAsia"/>
          <w:szCs w:val="21"/>
        </w:rPr>
      </w:pPr>
      <w:r>
        <w:rPr>
          <w:rFonts w:hint="eastAsia" w:asciiTheme="minorEastAsia" w:hAnsiTheme="minorEastAsia"/>
          <w:szCs w:val="21"/>
        </w:rPr>
        <w:t>15、钱海荣荣获2020年度“上海市中心图书馆二十周年”主题征文优秀奖</w:t>
      </w:r>
    </w:p>
    <w:p>
      <w:pPr>
        <w:spacing w:line="360" w:lineRule="auto"/>
        <w:rPr>
          <w:rFonts w:asciiTheme="minorEastAsia" w:hAnsiTheme="minorEastAsia"/>
          <w:szCs w:val="21"/>
        </w:rPr>
      </w:pPr>
      <w:r>
        <w:rPr>
          <w:rFonts w:hint="eastAsia" w:asciiTheme="minorEastAsia" w:hAnsiTheme="minorEastAsia"/>
          <w:szCs w:val="21"/>
        </w:rPr>
        <w:t>——上海市中心图书馆办公室2020年12月</w:t>
      </w:r>
    </w:p>
    <w:p>
      <w:pPr>
        <w:spacing w:line="360" w:lineRule="auto"/>
        <w:rPr>
          <w:rFonts w:asciiTheme="minorEastAsia" w:hAnsiTheme="minorEastAsia"/>
          <w:szCs w:val="21"/>
        </w:rPr>
      </w:pPr>
      <w:r>
        <w:rPr>
          <w:rFonts w:hint="eastAsia" w:asciiTheme="minorEastAsia" w:hAnsiTheme="minorEastAsia"/>
          <w:szCs w:val="21"/>
        </w:rPr>
        <w:t>16、李梦怡荣获上海市中心图书馆第四届职工岗位“新”技能大赛“微视频”比赛个人组优秀奖</w:t>
      </w:r>
    </w:p>
    <w:p>
      <w:pPr>
        <w:spacing w:line="360" w:lineRule="auto"/>
        <w:rPr>
          <w:rFonts w:asciiTheme="minorEastAsia" w:hAnsiTheme="minorEastAsia"/>
          <w:szCs w:val="21"/>
        </w:rPr>
      </w:pPr>
      <w:r>
        <w:rPr>
          <w:rFonts w:hint="eastAsia" w:asciiTheme="minorEastAsia" w:hAnsiTheme="minorEastAsia"/>
          <w:szCs w:val="21"/>
        </w:rPr>
        <w:t>——上海市中心图书馆办公室2020年12月</w:t>
      </w:r>
    </w:p>
    <w:p>
      <w:pPr>
        <w:spacing w:line="360" w:lineRule="auto"/>
        <w:rPr>
          <w:rFonts w:asciiTheme="minorEastAsia" w:hAnsiTheme="minorEastAsia"/>
          <w:szCs w:val="21"/>
        </w:rPr>
      </w:pPr>
      <w:r>
        <w:rPr>
          <w:rFonts w:hint="eastAsia" w:asciiTheme="minorEastAsia" w:hAnsiTheme="minorEastAsia"/>
          <w:szCs w:val="21"/>
        </w:rPr>
        <w:t>17、宣寅颖荣获上海市中心图书馆第四届职工岗位“新”技能大赛“微视频”比赛个人组优秀奖</w:t>
      </w:r>
    </w:p>
    <w:p>
      <w:pPr>
        <w:spacing w:line="360" w:lineRule="auto"/>
        <w:rPr>
          <w:rFonts w:asciiTheme="minorEastAsia" w:hAnsiTheme="minorEastAsia"/>
          <w:szCs w:val="21"/>
        </w:rPr>
      </w:pPr>
      <w:r>
        <w:rPr>
          <w:rFonts w:hint="eastAsia" w:asciiTheme="minorEastAsia" w:hAnsiTheme="minorEastAsia"/>
          <w:szCs w:val="21"/>
        </w:rPr>
        <w:t>——上海市中心图书馆办公室2020年12月</w:t>
      </w:r>
    </w:p>
    <w:p>
      <w:pPr>
        <w:spacing w:line="360" w:lineRule="auto"/>
        <w:rPr>
          <w:rFonts w:asciiTheme="minorEastAsia" w:hAnsiTheme="minorEastAsia"/>
          <w:szCs w:val="21"/>
        </w:rPr>
      </w:pPr>
      <w:r>
        <w:rPr>
          <w:rFonts w:hint="eastAsia" w:asciiTheme="minorEastAsia" w:hAnsiTheme="minorEastAsia"/>
          <w:szCs w:val="21"/>
        </w:rPr>
        <w:t>18、吴燕丽荣获2020年度“上海市中心图书馆二十周年”主题征文优秀奖</w:t>
      </w:r>
    </w:p>
    <w:p>
      <w:pPr>
        <w:spacing w:line="360" w:lineRule="auto"/>
        <w:rPr>
          <w:rFonts w:asciiTheme="minorEastAsia" w:hAnsiTheme="minorEastAsia"/>
          <w:szCs w:val="21"/>
        </w:rPr>
      </w:pPr>
      <w:r>
        <w:rPr>
          <w:rFonts w:hint="eastAsia" w:asciiTheme="minorEastAsia" w:hAnsiTheme="minorEastAsia"/>
          <w:szCs w:val="21"/>
        </w:rPr>
        <w:t>——上海市中心图书馆办公室2020年12月</w:t>
      </w:r>
    </w:p>
    <w:p>
      <w:pPr>
        <w:spacing w:line="360" w:lineRule="auto"/>
        <w:rPr>
          <w:rFonts w:asciiTheme="minorEastAsia" w:hAnsiTheme="minorEastAsia"/>
          <w:szCs w:val="21"/>
        </w:rPr>
      </w:pPr>
      <w:r>
        <w:rPr>
          <w:rFonts w:hint="eastAsia" w:asciiTheme="minorEastAsia" w:hAnsiTheme="minorEastAsia"/>
          <w:szCs w:val="21"/>
        </w:rPr>
        <w:t>19、王晓燕荣获2019年度闵行区全国文明城区创建工作“众志成城群星奖”</w:t>
      </w:r>
    </w:p>
    <w:p>
      <w:pPr>
        <w:spacing w:line="360" w:lineRule="auto"/>
        <w:rPr>
          <w:rFonts w:asciiTheme="minorEastAsia" w:hAnsiTheme="minorEastAsia"/>
          <w:szCs w:val="21"/>
        </w:rPr>
      </w:pPr>
      <w:r>
        <w:rPr>
          <w:rFonts w:hint="eastAsia" w:asciiTheme="minorEastAsia" w:hAnsiTheme="minorEastAsia"/>
          <w:szCs w:val="21"/>
        </w:rPr>
        <w:t>——中共闵行区委宣传部2020年5月</w:t>
      </w:r>
    </w:p>
    <w:p>
      <w:pPr>
        <w:spacing w:line="360" w:lineRule="auto"/>
        <w:rPr>
          <w:rFonts w:asciiTheme="minorEastAsia" w:hAnsiTheme="minorEastAsia"/>
          <w:szCs w:val="21"/>
        </w:rPr>
      </w:pPr>
      <w:r>
        <w:rPr>
          <w:rFonts w:hint="eastAsia" w:asciiTheme="minorEastAsia" w:hAnsiTheme="minorEastAsia"/>
          <w:szCs w:val="21"/>
        </w:rPr>
        <w:t>20、翁章捷荣获2019年度闵行区全国文明城区创建工作“众志成城群星奖”</w:t>
      </w:r>
    </w:p>
    <w:p>
      <w:pPr>
        <w:spacing w:line="360" w:lineRule="auto"/>
        <w:rPr>
          <w:rFonts w:asciiTheme="minorEastAsia" w:hAnsiTheme="minorEastAsia"/>
          <w:szCs w:val="21"/>
        </w:rPr>
      </w:pPr>
      <w:r>
        <w:rPr>
          <w:rFonts w:hint="eastAsia" w:asciiTheme="minorEastAsia" w:hAnsiTheme="minorEastAsia"/>
          <w:szCs w:val="21"/>
        </w:rPr>
        <w:t>——中共闵行区委宣传部2020年5月</w:t>
      </w:r>
    </w:p>
    <w:p>
      <w:pPr>
        <w:spacing w:line="360" w:lineRule="auto"/>
        <w:rPr>
          <w:rFonts w:asciiTheme="minorEastAsia" w:hAnsiTheme="minorEastAsia"/>
          <w:szCs w:val="21"/>
        </w:rPr>
      </w:pPr>
      <w:r>
        <w:rPr>
          <w:rFonts w:hint="eastAsia" w:asciiTheme="minorEastAsia" w:hAnsiTheme="minorEastAsia"/>
          <w:szCs w:val="21"/>
        </w:rPr>
        <w:t>21、上海市闵行区图书馆荣获2019年度闵行区全国文明城区创建工作“攻坚克难突击奖””</w:t>
      </w:r>
    </w:p>
    <w:p>
      <w:pPr>
        <w:spacing w:line="360" w:lineRule="auto"/>
        <w:rPr>
          <w:rFonts w:asciiTheme="minorEastAsia" w:hAnsiTheme="minorEastAsia"/>
          <w:szCs w:val="21"/>
        </w:rPr>
      </w:pPr>
      <w:r>
        <w:rPr>
          <w:rFonts w:hint="eastAsia" w:asciiTheme="minorEastAsia" w:hAnsiTheme="minorEastAsia"/>
          <w:szCs w:val="21"/>
        </w:rPr>
        <w:t>——中共闵行区委宣传部2020年5月</w:t>
      </w:r>
    </w:p>
    <w:p>
      <w:pPr>
        <w:spacing w:line="360" w:lineRule="auto"/>
        <w:rPr>
          <w:rFonts w:asciiTheme="minorEastAsia" w:hAnsiTheme="minorEastAsia"/>
          <w:szCs w:val="21"/>
        </w:rPr>
      </w:pPr>
      <w:r>
        <w:rPr>
          <w:rFonts w:hint="eastAsia" w:asciiTheme="minorEastAsia" w:hAnsiTheme="minorEastAsia"/>
          <w:szCs w:val="21"/>
        </w:rPr>
        <w:t>22、闵行区图书馆外借部荣获2019年度闵行区“迎进博助创全”最美服务窗口</w:t>
      </w:r>
    </w:p>
    <w:p>
      <w:pPr>
        <w:spacing w:line="360" w:lineRule="auto"/>
        <w:rPr>
          <w:rFonts w:asciiTheme="minorEastAsia" w:hAnsiTheme="minorEastAsia"/>
          <w:szCs w:val="21"/>
        </w:rPr>
      </w:pPr>
      <w:r>
        <w:rPr>
          <w:rFonts w:hint="eastAsia" w:asciiTheme="minorEastAsia" w:hAnsiTheme="minorEastAsia"/>
          <w:szCs w:val="21"/>
        </w:rPr>
        <w:t>——闵行区精神文明建设委员会办公室2020年7月</w:t>
      </w:r>
    </w:p>
    <w:p>
      <w:pPr>
        <w:spacing w:line="360" w:lineRule="auto"/>
        <w:rPr>
          <w:rFonts w:asciiTheme="minorEastAsia" w:hAnsiTheme="minorEastAsia"/>
          <w:szCs w:val="21"/>
        </w:rPr>
      </w:pPr>
      <w:r>
        <w:rPr>
          <w:rFonts w:hint="eastAsia" w:asciiTheme="minorEastAsia" w:hAnsiTheme="minorEastAsia"/>
          <w:szCs w:val="21"/>
        </w:rPr>
        <w:t>23、闵行区图书馆荣获创建全国文明城区工作中被评为“最佳共建奖”</w:t>
      </w:r>
    </w:p>
    <w:p>
      <w:pPr>
        <w:spacing w:line="360" w:lineRule="auto"/>
        <w:rPr>
          <w:rFonts w:asciiTheme="minorEastAsia" w:hAnsiTheme="minorEastAsia"/>
          <w:szCs w:val="21"/>
        </w:rPr>
      </w:pPr>
      <w:r>
        <w:rPr>
          <w:rFonts w:hint="eastAsia" w:asciiTheme="minorEastAsia" w:hAnsiTheme="minorEastAsia"/>
          <w:szCs w:val="21"/>
        </w:rPr>
        <w:t>——闵行区精神文明建设委员会2020年12月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roma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425D8B"/>
    <w:multiLevelType w:val="multilevel"/>
    <w:tmpl w:val="1F425D8B"/>
    <w:lvl w:ilvl="0" w:tentative="0">
      <w:start w:val="2"/>
      <w:numFmt w:val="japaneseCounting"/>
      <w:lvlText w:val="%1、"/>
      <w:lvlJc w:val="left"/>
      <w:pPr>
        <w:ind w:left="990" w:hanging="495"/>
      </w:pPr>
      <w:rPr>
        <w:rFonts w:hint="default"/>
      </w:rPr>
    </w:lvl>
    <w:lvl w:ilvl="1" w:tentative="0">
      <w:start w:val="1"/>
      <w:numFmt w:val="lowerLetter"/>
      <w:lvlText w:val="%2)"/>
      <w:lvlJc w:val="left"/>
      <w:pPr>
        <w:ind w:left="1335" w:hanging="420"/>
      </w:pPr>
    </w:lvl>
    <w:lvl w:ilvl="2" w:tentative="0">
      <w:start w:val="1"/>
      <w:numFmt w:val="lowerRoman"/>
      <w:lvlText w:val="%3."/>
      <w:lvlJc w:val="right"/>
      <w:pPr>
        <w:ind w:left="1755" w:hanging="420"/>
      </w:pPr>
    </w:lvl>
    <w:lvl w:ilvl="3" w:tentative="0">
      <w:start w:val="1"/>
      <w:numFmt w:val="decimal"/>
      <w:lvlText w:val="%4."/>
      <w:lvlJc w:val="left"/>
      <w:pPr>
        <w:ind w:left="2175" w:hanging="420"/>
      </w:pPr>
    </w:lvl>
    <w:lvl w:ilvl="4" w:tentative="0">
      <w:start w:val="1"/>
      <w:numFmt w:val="lowerLetter"/>
      <w:lvlText w:val="%5)"/>
      <w:lvlJc w:val="left"/>
      <w:pPr>
        <w:ind w:left="2595" w:hanging="420"/>
      </w:pPr>
    </w:lvl>
    <w:lvl w:ilvl="5" w:tentative="0">
      <w:start w:val="1"/>
      <w:numFmt w:val="lowerRoman"/>
      <w:lvlText w:val="%6."/>
      <w:lvlJc w:val="right"/>
      <w:pPr>
        <w:ind w:left="3015" w:hanging="420"/>
      </w:pPr>
    </w:lvl>
    <w:lvl w:ilvl="6" w:tentative="0">
      <w:start w:val="1"/>
      <w:numFmt w:val="decimal"/>
      <w:lvlText w:val="%7."/>
      <w:lvlJc w:val="left"/>
      <w:pPr>
        <w:ind w:left="3435" w:hanging="420"/>
      </w:pPr>
    </w:lvl>
    <w:lvl w:ilvl="7" w:tentative="0">
      <w:start w:val="1"/>
      <w:numFmt w:val="lowerLetter"/>
      <w:lvlText w:val="%8)"/>
      <w:lvlJc w:val="left"/>
      <w:pPr>
        <w:ind w:left="3855" w:hanging="420"/>
      </w:pPr>
    </w:lvl>
    <w:lvl w:ilvl="8" w:tentative="0">
      <w:start w:val="1"/>
      <w:numFmt w:val="lowerRoman"/>
      <w:lvlText w:val="%9."/>
      <w:lvlJc w:val="right"/>
      <w:pPr>
        <w:ind w:left="427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kNDM2MGZjZWY4MDEyNjU2MjljYzgyZTBmODc1MzkifQ=="/>
  </w:docVars>
  <w:rsids>
    <w:rsidRoot w:val="007429D7"/>
    <w:rsid w:val="00005F47"/>
    <w:rsid w:val="00007F3A"/>
    <w:rsid w:val="00056A5B"/>
    <w:rsid w:val="00060948"/>
    <w:rsid w:val="000639AE"/>
    <w:rsid w:val="00072110"/>
    <w:rsid w:val="000767DE"/>
    <w:rsid w:val="000805AD"/>
    <w:rsid w:val="00086174"/>
    <w:rsid w:val="00086764"/>
    <w:rsid w:val="00086A9D"/>
    <w:rsid w:val="000A281E"/>
    <w:rsid w:val="000A3518"/>
    <w:rsid w:val="000A4BBB"/>
    <w:rsid w:val="000B0B6F"/>
    <w:rsid w:val="000C4332"/>
    <w:rsid w:val="000C69D1"/>
    <w:rsid w:val="000D3F4E"/>
    <w:rsid w:val="000F321F"/>
    <w:rsid w:val="00104EDC"/>
    <w:rsid w:val="00121998"/>
    <w:rsid w:val="001230D7"/>
    <w:rsid w:val="0014180F"/>
    <w:rsid w:val="0014248B"/>
    <w:rsid w:val="00145766"/>
    <w:rsid w:val="001476BA"/>
    <w:rsid w:val="00155167"/>
    <w:rsid w:val="00155CED"/>
    <w:rsid w:val="001609AD"/>
    <w:rsid w:val="00165B18"/>
    <w:rsid w:val="00173F98"/>
    <w:rsid w:val="00177534"/>
    <w:rsid w:val="00185E39"/>
    <w:rsid w:val="001B6E8D"/>
    <w:rsid w:val="001D00DE"/>
    <w:rsid w:val="001D1373"/>
    <w:rsid w:val="001D27E2"/>
    <w:rsid w:val="001D5B33"/>
    <w:rsid w:val="001D7136"/>
    <w:rsid w:val="001E35CB"/>
    <w:rsid w:val="001E41A0"/>
    <w:rsid w:val="001F4560"/>
    <w:rsid w:val="001F6D39"/>
    <w:rsid w:val="00205939"/>
    <w:rsid w:val="00211447"/>
    <w:rsid w:val="00212080"/>
    <w:rsid w:val="00215DBB"/>
    <w:rsid w:val="00215F96"/>
    <w:rsid w:val="002233B1"/>
    <w:rsid w:val="002253E6"/>
    <w:rsid w:val="00231C94"/>
    <w:rsid w:val="002371B5"/>
    <w:rsid w:val="00242ACD"/>
    <w:rsid w:val="00251577"/>
    <w:rsid w:val="0026142C"/>
    <w:rsid w:val="0026428B"/>
    <w:rsid w:val="002705FB"/>
    <w:rsid w:val="00271EDD"/>
    <w:rsid w:val="00272A3A"/>
    <w:rsid w:val="00273B8B"/>
    <w:rsid w:val="00273BBC"/>
    <w:rsid w:val="002745EA"/>
    <w:rsid w:val="00281B6D"/>
    <w:rsid w:val="0028528B"/>
    <w:rsid w:val="00285D7E"/>
    <w:rsid w:val="00286161"/>
    <w:rsid w:val="00292DA6"/>
    <w:rsid w:val="00295E9F"/>
    <w:rsid w:val="002C25EE"/>
    <w:rsid w:val="002C271B"/>
    <w:rsid w:val="002D2F39"/>
    <w:rsid w:val="002E1E24"/>
    <w:rsid w:val="002E3A86"/>
    <w:rsid w:val="002E4255"/>
    <w:rsid w:val="002F0B62"/>
    <w:rsid w:val="002F1133"/>
    <w:rsid w:val="002F3DB9"/>
    <w:rsid w:val="002F6210"/>
    <w:rsid w:val="002F7D0C"/>
    <w:rsid w:val="00303377"/>
    <w:rsid w:val="00314E5B"/>
    <w:rsid w:val="00315937"/>
    <w:rsid w:val="00316AAC"/>
    <w:rsid w:val="00323DBA"/>
    <w:rsid w:val="003243B6"/>
    <w:rsid w:val="0032454A"/>
    <w:rsid w:val="00327352"/>
    <w:rsid w:val="00330BB7"/>
    <w:rsid w:val="00342AA3"/>
    <w:rsid w:val="0035081D"/>
    <w:rsid w:val="0035679C"/>
    <w:rsid w:val="00357520"/>
    <w:rsid w:val="00361D51"/>
    <w:rsid w:val="00361DF9"/>
    <w:rsid w:val="00362AD6"/>
    <w:rsid w:val="003747AE"/>
    <w:rsid w:val="00374B2B"/>
    <w:rsid w:val="00374DCA"/>
    <w:rsid w:val="00377ECB"/>
    <w:rsid w:val="0038069C"/>
    <w:rsid w:val="00383E8A"/>
    <w:rsid w:val="003940B0"/>
    <w:rsid w:val="003A03F1"/>
    <w:rsid w:val="003B537E"/>
    <w:rsid w:val="003B75CD"/>
    <w:rsid w:val="003D4F98"/>
    <w:rsid w:val="003D60AC"/>
    <w:rsid w:val="003E4B27"/>
    <w:rsid w:val="003E527A"/>
    <w:rsid w:val="003E60BC"/>
    <w:rsid w:val="00417EE5"/>
    <w:rsid w:val="00421462"/>
    <w:rsid w:val="00423098"/>
    <w:rsid w:val="0042439A"/>
    <w:rsid w:val="00425F6D"/>
    <w:rsid w:val="00433292"/>
    <w:rsid w:val="004366DA"/>
    <w:rsid w:val="00451C3B"/>
    <w:rsid w:val="004566AE"/>
    <w:rsid w:val="004617DD"/>
    <w:rsid w:val="00472BF8"/>
    <w:rsid w:val="0048090F"/>
    <w:rsid w:val="004815EA"/>
    <w:rsid w:val="0048739E"/>
    <w:rsid w:val="004A6415"/>
    <w:rsid w:val="004A68A6"/>
    <w:rsid w:val="004C32D5"/>
    <w:rsid w:val="004D3615"/>
    <w:rsid w:val="004D3720"/>
    <w:rsid w:val="004D4278"/>
    <w:rsid w:val="004E2A5B"/>
    <w:rsid w:val="004E5736"/>
    <w:rsid w:val="004F00E2"/>
    <w:rsid w:val="004F549C"/>
    <w:rsid w:val="00506D23"/>
    <w:rsid w:val="0051444A"/>
    <w:rsid w:val="00514CBB"/>
    <w:rsid w:val="00532FFA"/>
    <w:rsid w:val="00537C0F"/>
    <w:rsid w:val="00573DD6"/>
    <w:rsid w:val="00587597"/>
    <w:rsid w:val="00587C16"/>
    <w:rsid w:val="0059345B"/>
    <w:rsid w:val="0059765F"/>
    <w:rsid w:val="005A2150"/>
    <w:rsid w:val="005A47EA"/>
    <w:rsid w:val="005B39FE"/>
    <w:rsid w:val="005B4177"/>
    <w:rsid w:val="005B5C8C"/>
    <w:rsid w:val="005C31C3"/>
    <w:rsid w:val="005C3B90"/>
    <w:rsid w:val="005D2A2C"/>
    <w:rsid w:val="005E04BE"/>
    <w:rsid w:val="005E1AD1"/>
    <w:rsid w:val="005E3A84"/>
    <w:rsid w:val="005E7ED3"/>
    <w:rsid w:val="005F7B2E"/>
    <w:rsid w:val="00623DBF"/>
    <w:rsid w:val="006244C8"/>
    <w:rsid w:val="00632BD6"/>
    <w:rsid w:val="0063641E"/>
    <w:rsid w:val="006455FE"/>
    <w:rsid w:val="00646812"/>
    <w:rsid w:val="00650E0D"/>
    <w:rsid w:val="006540F1"/>
    <w:rsid w:val="00662392"/>
    <w:rsid w:val="00674441"/>
    <w:rsid w:val="006749F4"/>
    <w:rsid w:val="00677B5B"/>
    <w:rsid w:val="00685091"/>
    <w:rsid w:val="0068639E"/>
    <w:rsid w:val="006A0220"/>
    <w:rsid w:val="006A4EE5"/>
    <w:rsid w:val="006A53D4"/>
    <w:rsid w:val="006A72FE"/>
    <w:rsid w:val="006B1DF5"/>
    <w:rsid w:val="006B79E0"/>
    <w:rsid w:val="006C0245"/>
    <w:rsid w:val="006C71ED"/>
    <w:rsid w:val="006E1C0C"/>
    <w:rsid w:val="006E3532"/>
    <w:rsid w:val="006E4C3E"/>
    <w:rsid w:val="006F05BC"/>
    <w:rsid w:val="006F12FC"/>
    <w:rsid w:val="006F282D"/>
    <w:rsid w:val="006F57BF"/>
    <w:rsid w:val="007029DF"/>
    <w:rsid w:val="007156DC"/>
    <w:rsid w:val="00715E7F"/>
    <w:rsid w:val="00720315"/>
    <w:rsid w:val="0072220A"/>
    <w:rsid w:val="00724D26"/>
    <w:rsid w:val="00731236"/>
    <w:rsid w:val="00731D34"/>
    <w:rsid w:val="00733150"/>
    <w:rsid w:val="00734621"/>
    <w:rsid w:val="007429D7"/>
    <w:rsid w:val="00742AA2"/>
    <w:rsid w:val="007515CA"/>
    <w:rsid w:val="00764FA2"/>
    <w:rsid w:val="00767ACA"/>
    <w:rsid w:val="0077074E"/>
    <w:rsid w:val="00773B5B"/>
    <w:rsid w:val="0079408A"/>
    <w:rsid w:val="00796D92"/>
    <w:rsid w:val="007A1B26"/>
    <w:rsid w:val="007C0FC8"/>
    <w:rsid w:val="007C6315"/>
    <w:rsid w:val="007D3ED1"/>
    <w:rsid w:val="007D4C7E"/>
    <w:rsid w:val="007E72D7"/>
    <w:rsid w:val="007F780C"/>
    <w:rsid w:val="00806363"/>
    <w:rsid w:val="00812E0F"/>
    <w:rsid w:val="008236AB"/>
    <w:rsid w:val="008335AB"/>
    <w:rsid w:val="008573CA"/>
    <w:rsid w:val="008679BA"/>
    <w:rsid w:val="00873F9B"/>
    <w:rsid w:val="00892BB7"/>
    <w:rsid w:val="008A001D"/>
    <w:rsid w:val="008A096B"/>
    <w:rsid w:val="008B33B0"/>
    <w:rsid w:val="008B5003"/>
    <w:rsid w:val="008B687A"/>
    <w:rsid w:val="008D340A"/>
    <w:rsid w:val="008E1486"/>
    <w:rsid w:val="008E488E"/>
    <w:rsid w:val="008E5F00"/>
    <w:rsid w:val="008E72E8"/>
    <w:rsid w:val="008F1D5C"/>
    <w:rsid w:val="008F418D"/>
    <w:rsid w:val="00905411"/>
    <w:rsid w:val="00911564"/>
    <w:rsid w:val="009152DA"/>
    <w:rsid w:val="00921DAA"/>
    <w:rsid w:val="00942688"/>
    <w:rsid w:val="009459D8"/>
    <w:rsid w:val="0095298B"/>
    <w:rsid w:val="00963326"/>
    <w:rsid w:val="0096408D"/>
    <w:rsid w:val="009707A7"/>
    <w:rsid w:val="00983742"/>
    <w:rsid w:val="00983BD9"/>
    <w:rsid w:val="009A131B"/>
    <w:rsid w:val="009A385C"/>
    <w:rsid w:val="009A5F0D"/>
    <w:rsid w:val="009A650C"/>
    <w:rsid w:val="009B1A83"/>
    <w:rsid w:val="009C6930"/>
    <w:rsid w:val="009D65F6"/>
    <w:rsid w:val="009E01B5"/>
    <w:rsid w:val="009E5891"/>
    <w:rsid w:val="009F79AD"/>
    <w:rsid w:val="00A12155"/>
    <w:rsid w:val="00A24C86"/>
    <w:rsid w:val="00A26E76"/>
    <w:rsid w:val="00A3427C"/>
    <w:rsid w:val="00A34897"/>
    <w:rsid w:val="00A425B0"/>
    <w:rsid w:val="00A426F7"/>
    <w:rsid w:val="00A42BAA"/>
    <w:rsid w:val="00A4490B"/>
    <w:rsid w:val="00A5325B"/>
    <w:rsid w:val="00A552D6"/>
    <w:rsid w:val="00A634C2"/>
    <w:rsid w:val="00A66FC0"/>
    <w:rsid w:val="00A709D0"/>
    <w:rsid w:val="00A80098"/>
    <w:rsid w:val="00A94C3B"/>
    <w:rsid w:val="00A95C68"/>
    <w:rsid w:val="00A9679D"/>
    <w:rsid w:val="00AA5B4B"/>
    <w:rsid w:val="00AB4DD4"/>
    <w:rsid w:val="00AD1A18"/>
    <w:rsid w:val="00AE2A23"/>
    <w:rsid w:val="00AE536B"/>
    <w:rsid w:val="00AF5290"/>
    <w:rsid w:val="00AF5C33"/>
    <w:rsid w:val="00AF74CB"/>
    <w:rsid w:val="00B000DA"/>
    <w:rsid w:val="00B05B1C"/>
    <w:rsid w:val="00B1485F"/>
    <w:rsid w:val="00B203AF"/>
    <w:rsid w:val="00B226CE"/>
    <w:rsid w:val="00B37FF4"/>
    <w:rsid w:val="00B41CE0"/>
    <w:rsid w:val="00B53041"/>
    <w:rsid w:val="00B733B1"/>
    <w:rsid w:val="00B73E21"/>
    <w:rsid w:val="00B76687"/>
    <w:rsid w:val="00B93682"/>
    <w:rsid w:val="00B95A0D"/>
    <w:rsid w:val="00BA0DCD"/>
    <w:rsid w:val="00BA4431"/>
    <w:rsid w:val="00BB47BC"/>
    <w:rsid w:val="00BC1CEB"/>
    <w:rsid w:val="00BC23D6"/>
    <w:rsid w:val="00BD481B"/>
    <w:rsid w:val="00BD5B9D"/>
    <w:rsid w:val="00BE0EEC"/>
    <w:rsid w:val="00BE2656"/>
    <w:rsid w:val="00BF1E32"/>
    <w:rsid w:val="00BF51F3"/>
    <w:rsid w:val="00BF6B2A"/>
    <w:rsid w:val="00BF799C"/>
    <w:rsid w:val="00C01AF8"/>
    <w:rsid w:val="00C030E1"/>
    <w:rsid w:val="00C10CAB"/>
    <w:rsid w:val="00C10E83"/>
    <w:rsid w:val="00C20356"/>
    <w:rsid w:val="00C236A1"/>
    <w:rsid w:val="00C31E10"/>
    <w:rsid w:val="00C35DEA"/>
    <w:rsid w:val="00C447A2"/>
    <w:rsid w:val="00C731B9"/>
    <w:rsid w:val="00C83E89"/>
    <w:rsid w:val="00C9071E"/>
    <w:rsid w:val="00C9225C"/>
    <w:rsid w:val="00C93051"/>
    <w:rsid w:val="00C94C84"/>
    <w:rsid w:val="00C94D96"/>
    <w:rsid w:val="00CA1EFD"/>
    <w:rsid w:val="00CA2D48"/>
    <w:rsid w:val="00CA3225"/>
    <w:rsid w:val="00CA428A"/>
    <w:rsid w:val="00CA547A"/>
    <w:rsid w:val="00CB1012"/>
    <w:rsid w:val="00CB4F41"/>
    <w:rsid w:val="00CB6410"/>
    <w:rsid w:val="00CC57E3"/>
    <w:rsid w:val="00CD262D"/>
    <w:rsid w:val="00CD6D06"/>
    <w:rsid w:val="00CE3857"/>
    <w:rsid w:val="00CE6FC9"/>
    <w:rsid w:val="00CF206B"/>
    <w:rsid w:val="00CF437D"/>
    <w:rsid w:val="00D10B19"/>
    <w:rsid w:val="00D1741E"/>
    <w:rsid w:val="00D20549"/>
    <w:rsid w:val="00D30847"/>
    <w:rsid w:val="00D30FD9"/>
    <w:rsid w:val="00D35253"/>
    <w:rsid w:val="00D40081"/>
    <w:rsid w:val="00D55DA4"/>
    <w:rsid w:val="00D70D44"/>
    <w:rsid w:val="00D73AE1"/>
    <w:rsid w:val="00D76339"/>
    <w:rsid w:val="00D7700F"/>
    <w:rsid w:val="00D83C25"/>
    <w:rsid w:val="00D93E29"/>
    <w:rsid w:val="00D93FC6"/>
    <w:rsid w:val="00DA12A2"/>
    <w:rsid w:val="00DA458A"/>
    <w:rsid w:val="00DA5517"/>
    <w:rsid w:val="00DD520F"/>
    <w:rsid w:val="00DE5D43"/>
    <w:rsid w:val="00DF0734"/>
    <w:rsid w:val="00DF1DBF"/>
    <w:rsid w:val="00DF3460"/>
    <w:rsid w:val="00E01E65"/>
    <w:rsid w:val="00E0336D"/>
    <w:rsid w:val="00E1139B"/>
    <w:rsid w:val="00E134A4"/>
    <w:rsid w:val="00E13618"/>
    <w:rsid w:val="00E21A0F"/>
    <w:rsid w:val="00E2331C"/>
    <w:rsid w:val="00E26D5F"/>
    <w:rsid w:val="00E31A2D"/>
    <w:rsid w:val="00E327ED"/>
    <w:rsid w:val="00E340B0"/>
    <w:rsid w:val="00E35D2D"/>
    <w:rsid w:val="00E37B36"/>
    <w:rsid w:val="00E45DD0"/>
    <w:rsid w:val="00E63B7C"/>
    <w:rsid w:val="00E75BDC"/>
    <w:rsid w:val="00E819F3"/>
    <w:rsid w:val="00E94AB7"/>
    <w:rsid w:val="00EA5094"/>
    <w:rsid w:val="00EA57D5"/>
    <w:rsid w:val="00EA652A"/>
    <w:rsid w:val="00EB175E"/>
    <w:rsid w:val="00EC04CA"/>
    <w:rsid w:val="00EC2E30"/>
    <w:rsid w:val="00EC69DC"/>
    <w:rsid w:val="00ED19C4"/>
    <w:rsid w:val="00ED5830"/>
    <w:rsid w:val="00ED7840"/>
    <w:rsid w:val="00EE3CE5"/>
    <w:rsid w:val="00EE489B"/>
    <w:rsid w:val="00EF4103"/>
    <w:rsid w:val="00EF6F14"/>
    <w:rsid w:val="00F1722A"/>
    <w:rsid w:val="00F17D06"/>
    <w:rsid w:val="00F26250"/>
    <w:rsid w:val="00F34C3B"/>
    <w:rsid w:val="00F430F8"/>
    <w:rsid w:val="00F44C24"/>
    <w:rsid w:val="00F534C6"/>
    <w:rsid w:val="00F5593F"/>
    <w:rsid w:val="00F57467"/>
    <w:rsid w:val="00F64C1F"/>
    <w:rsid w:val="00F85F82"/>
    <w:rsid w:val="00F928AE"/>
    <w:rsid w:val="00F95F8A"/>
    <w:rsid w:val="00FB2AF2"/>
    <w:rsid w:val="00FB363D"/>
    <w:rsid w:val="00FB3A91"/>
    <w:rsid w:val="00FC1FCF"/>
    <w:rsid w:val="00FC280B"/>
    <w:rsid w:val="00FC70C7"/>
    <w:rsid w:val="00FD1441"/>
    <w:rsid w:val="00FE0E95"/>
    <w:rsid w:val="00FE6B37"/>
    <w:rsid w:val="00FF337C"/>
    <w:rsid w:val="02C81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37"/>
    <w:semiHidden/>
    <w:unhideWhenUsed/>
    <w:uiPriority w:val="99"/>
    <w:pPr>
      <w:widowControl/>
      <w:adjustRightInd w:val="0"/>
      <w:snapToGrid w:val="0"/>
      <w:ind w:firstLine="200" w:firstLineChars="200"/>
      <w:jc w:val="left"/>
    </w:pPr>
    <w:rPr>
      <w:rFonts w:ascii="Tahoma" w:hAnsi="Tahoma" w:eastAsia="微软雅黑"/>
      <w:kern w:val="0"/>
      <w:sz w:val="18"/>
      <w:szCs w:val="18"/>
    </w:rPr>
  </w:style>
  <w:style w:type="paragraph" w:styleId="4">
    <w:name w:val="footer"/>
    <w:basedOn w:val="1"/>
    <w:link w:val="15"/>
    <w:unhideWhenUsed/>
    <w:uiPriority w:val="99"/>
    <w:pPr>
      <w:tabs>
        <w:tab w:val="center" w:pos="4153"/>
        <w:tab w:val="right" w:pos="8306"/>
      </w:tabs>
      <w:snapToGrid w:val="0"/>
      <w:jc w:val="left"/>
    </w:pPr>
    <w:rPr>
      <w:sz w:val="18"/>
      <w:szCs w:val="18"/>
    </w:rPr>
  </w:style>
  <w:style w:type="paragraph" w:styleId="5">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ind w:firstLine="200" w:firstLineChars="200"/>
      <w:jc w:val="left"/>
    </w:pPr>
    <w:rPr>
      <w:rFonts w:ascii="宋体" w:hAnsi="宋体" w:eastAsia="宋体" w:cs="宋体"/>
      <w:kern w:val="0"/>
      <w:sz w:val="24"/>
      <w:szCs w:val="24"/>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FollowedHyperlink"/>
    <w:basedOn w:val="9"/>
    <w:semiHidden/>
    <w:unhideWhenUsed/>
    <w:uiPriority w:val="99"/>
    <w:rPr>
      <w:color w:val="800080"/>
      <w:u w:val="single"/>
    </w:rPr>
  </w:style>
  <w:style w:type="character" w:styleId="12">
    <w:name w:val="Hyperlink"/>
    <w:basedOn w:val="9"/>
    <w:semiHidden/>
    <w:unhideWhenUsed/>
    <w:uiPriority w:val="99"/>
    <w:rPr>
      <w:color w:val="0000FF"/>
      <w:u w:val="single"/>
    </w:rPr>
  </w:style>
  <w:style w:type="paragraph" w:styleId="13">
    <w:name w:val="List Paragraph"/>
    <w:basedOn w:val="1"/>
    <w:qFormat/>
    <w:uiPriority w:val="34"/>
    <w:pPr>
      <w:ind w:firstLine="420" w:firstLineChars="200"/>
    </w:pPr>
  </w:style>
  <w:style w:type="character" w:customStyle="1" w:styleId="14">
    <w:name w:val="页眉 Char"/>
    <w:basedOn w:val="9"/>
    <w:link w:val="5"/>
    <w:uiPriority w:val="99"/>
    <w:rPr>
      <w:sz w:val="18"/>
      <w:szCs w:val="18"/>
    </w:rPr>
  </w:style>
  <w:style w:type="character" w:customStyle="1" w:styleId="15">
    <w:name w:val="页脚 Char"/>
    <w:basedOn w:val="9"/>
    <w:link w:val="4"/>
    <w:uiPriority w:val="99"/>
    <w:rPr>
      <w:sz w:val="18"/>
      <w:szCs w:val="18"/>
    </w:rPr>
  </w:style>
  <w:style w:type="paragraph" w:customStyle="1" w:styleId="16">
    <w:name w:val="Defaul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paragraph" w:customStyle="1" w:styleId="17">
    <w:name w:val="font5"/>
    <w:basedOn w:val="1"/>
    <w:uiPriority w:val="0"/>
    <w:pPr>
      <w:widowControl/>
      <w:spacing w:before="100" w:beforeAutospacing="1" w:after="100" w:afterAutospacing="1"/>
      <w:ind w:firstLine="200" w:firstLineChars="200"/>
      <w:jc w:val="left"/>
    </w:pPr>
    <w:rPr>
      <w:rFonts w:ascii="宋体" w:hAnsi="宋体" w:eastAsia="宋体" w:cs="宋体"/>
      <w:kern w:val="0"/>
      <w:sz w:val="18"/>
      <w:szCs w:val="18"/>
    </w:rPr>
  </w:style>
  <w:style w:type="paragraph" w:customStyle="1" w:styleId="18">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19">
    <w:name w:val="xl1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0">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4"/>
      <w:szCs w:val="24"/>
    </w:rPr>
  </w:style>
  <w:style w:type="paragraph" w:customStyle="1" w:styleId="21">
    <w:name w:val="xl1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22">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3">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4">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18"/>
      <w:szCs w:val="18"/>
    </w:rPr>
  </w:style>
  <w:style w:type="paragraph" w:customStyle="1" w:styleId="25">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6">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27">
    <w:name w:val="xl116"/>
    <w:basedOn w:val="1"/>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28">
    <w:name w:val="xl117"/>
    <w:basedOn w:val="1"/>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29">
    <w:name w:val="xl118"/>
    <w:basedOn w:val="1"/>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宋体" w:hAnsi="宋体" w:eastAsia="宋体" w:cs="宋体"/>
      <w:kern w:val="0"/>
      <w:sz w:val="20"/>
      <w:szCs w:val="20"/>
    </w:rPr>
  </w:style>
  <w:style w:type="paragraph" w:customStyle="1" w:styleId="30">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1">
    <w:name w:val="xl120"/>
    <w:basedOn w:val="1"/>
    <w:uiPriority w:val="0"/>
    <w:pPr>
      <w:widowControl/>
      <w:pBdr>
        <w:bottom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2">
    <w:name w:val="xl121"/>
    <w:basedOn w:val="1"/>
    <w:uiPriority w:val="0"/>
    <w:pPr>
      <w:widowControl/>
      <w:pBdr>
        <w:top w:val="single" w:color="auto" w:sz="4" w:space="0"/>
        <w:left w:val="single" w:color="auto" w:sz="4" w:space="0"/>
      </w:pBdr>
      <w:spacing w:before="100" w:beforeAutospacing="1" w:after="100" w:afterAutospacing="1"/>
      <w:ind w:firstLine="200" w:firstLineChars="200"/>
      <w:jc w:val="center"/>
    </w:pPr>
    <w:rPr>
      <w:rFonts w:ascii="宋体" w:hAnsi="宋体" w:eastAsia="宋体" w:cs="宋体"/>
      <w:b/>
      <w:bCs/>
      <w:kern w:val="0"/>
      <w:sz w:val="20"/>
      <w:szCs w:val="20"/>
    </w:rPr>
  </w:style>
  <w:style w:type="paragraph" w:customStyle="1" w:styleId="33">
    <w:name w:val="xl122"/>
    <w:basedOn w:val="1"/>
    <w:uiPriority w:val="0"/>
    <w:pPr>
      <w:widowControl/>
      <w:pBdr>
        <w:top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4">
    <w:name w:val="xl123"/>
    <w:basedOn w:val="1"/>
    <w:uiPriority w:val="0"/>
    <w:pPr>
      <w:widowControl/>
      <w:pBdr>
        <w:top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5">
    <w:name w:val="xl124"/>
    <w:basedOn w:val="1"/>
    <w:uiPriority w:val="0"/>
    <w:pPr>
      <w:widowControl/>
      <w:pBdr>
        <w:left w:val="single" w:color="auto" w:sz="4" w:space="0"/>
        <w:bottom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paragraph" w:customStyle="1" w:styleId="36">
    <w:name w:val="xl125"/>
    <w:basedOn w:val="1"/>
    <w:uiPriority w:val="0"/>
    <w:pPr>
      <w:widowControl/>
      <w:pBdr>
        <w:bottom w:val="single" w:color="auto" w:sz="4" w:space="0"/>
        <w:right w:val="single" w:color="auto" w:sz="4" w:space="0"/>
      </w:pBdr>
      <w:spacing w:before="100" w:beforeAutospacing="1" w:after="100" w:afterAutospacing="1"/>
      <w:ind w:firstLine="200" w:firstLineChars="200"/>
      <w:jc w:val="center"/>
    </w:pPr>
    <w:rPr>
      <w:rFonts w:ascii="宋体" w:hAnsi="宋体" w:eastAsia="宋体" w:cs="宋体"/>
      <w:kern w:val="0"/>
      <w:sz w:val="24"/>
      <w:szCs w:val="24"/>
    </w:rPr>
  </w:style>
  <w:style w:type="character" w:customStyle="1" w:styleId="37">
    <w:name w:val="批注框文本 Char"/>
    <w:basedOn w:val="9"/>
    <w:link w:val="3"/>
    <w:semiHidden/>
    <w:uiPriority w:val="99"/>
    <w:rPr>
      <w:rFonts w:ascii="Tahoma" w:hAnsi="Tahoma" w:eastAsia="微软雅黑"/>
      <w:kern w:val="0"/>
      <w:sz w:val="18"/>
      <w:szCs w:val="18"/>
    </w:rPr>
  </w:style>
  <w:style w:type="character" w:customStyle="1" w:styleId="38">
    <w:name w:val="标题 1 Char"/>
    <w:basedOn w:val="9"/>
    <w:link w:val="2"/>
    <w:uiPriority w:val="0"/>
    <w:rPr>
      <w:rFonts w:ascii="Times New Roman" w:hAnsi="Times New Roman" w:eastAsia="宋体" w:cs="Times New Roman"/>
      <w:b/>
      <w:bCs/>
      <w:kern w:val="44"/>
      <w:sz w:val="44"/>
      <w:szCs w:val="44"/>
    </w:rPr>
  </w:style>
  <w:style w:type="paragraph" w:customStyle="1" w:styleId="39">
    <w:name w:val="p0"/>
    <w:basedOn w:val="1"/>
    <w:uiPriority w:val="0"/>
    <w:pPr>
      <w:widowControl/>
    </w:pPr>
    <w:rPr>
      <w:rFonts w:ascii="Calibri" w:hAnsi="Calibri" w:eastAsia="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microsoft.com/office/2007/relationships/hdphoto" Target="media/image13.wdp"/><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2F0DA-8440-4B29-9AEE-D8A711EA14C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21787</Words>
  <Characters>24105</Characters>
  <Lines>183</Lines>
  <Paragraphs>51</Paragraphs>
  <TotalTime>54</TotalTime>
  <ScaleCrop>false</ScaleCrop>
  <LinksUpToDate>false</LinksUpToDate>
  <CharactersWithSpaces>24322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2022-08-19T02:35:00Z</dcterms:created>
  <dc:creator>微软用户</dc:creator>
  <cp:lastModifiedBy>Tan</cp:lastModifiedBy>
  <dcterms:modified xsi:type="dcterms:W3CDTF">2022-08-26T07:27:35Z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959AE7D60A084AC38E4DF24C0D424DF0</vt:lpwstr>
  </property>
</Properties>
</file>