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22" focussize="0,0" recolor="t" r:id="rId4"/>
    </v:background>
  </w:background>
  <w:body>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二〇一八闵行区图书馆情况年报</w:t>
      </w:r>
    </w:p>
    <w:p>
      <w:pPr>
        <w:spacing w:line="360" w:lineRule="auto"/>
        <w:rPr>
          <w:rFonts w:ascii="微软雅黑" w:hAnsi="微软雅黑" w:eastAsia="微软雅黑"/>
          <w:sz w:val="24"/>
          <w:szCs w:val="24"/>
        </w:rPr>
      </w:pPr>
      <w:r>
        <w:rPr>
          <w:rFonts w:hint="eastAsia" w:ascii="微软雅黑" w:hAnsi="微软雅黑" w:eastAsia="微软雅黑"/>
          <w:sz w:val="24"/>
          <w:szCs w:val="24"/>
        </w:rPr>
        <w:t>目录</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一、闵行区图书馆二〇一八年度计划</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二、闵行区图书馆二〇一八年度总结</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三、大事记</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四、二〇一八年度社会责任报告</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五、工作人员及工作培训</w:t>
      </w:r>
    </w:p>
    <w:p>
      <w:pPr>
        <w:spacing w:line="360" w:lineRule="auto"/>
        <w:rPr>
          <w:rFonts w:ascii="微软雅黑" w:hAnsi="微软雅黑" w:eastAsia="微软雅黑"/>
          <w:szCs w:val="21"/>
        </w:rPr>
      </w:pPr>
      <w:r>
        <w:rPr>
          <w:rFonts w:hint="eastAsia" w:ascii="微软雅黑" w:hAnsi="微软雅黑" w:eastAsia="微软雅黑"/>
          <w:szCs w:val="21"/>
        </w:rPr>
        <w:t>1．基础信息</w:t>
      </w:r>
    </w:p>
    <w:p>
      <w:pPr>
        <w:spacing w:line="360" w:lineRule="auto"/>
        <w:rPr>
          <w:rFonts w:ascii="微软雅黑" w:hAnsi="微软雅黑" w:eastAsia="微软雅黑"/>
          <w:szCs w:val="21"/>
        </w:rPr>
      </w:pPr>
      <w:r>
        <w:rPr>
          <w:rFonts w:hint="eastAsia" w:ascii="微软雅黑" w:hAnsi="微软雅黑" w:eastAsia="微软雅黑"/>
          <w:szCs w:val="21"/>
        </w:rPr>
        <w:t>2 . 机构设置</w:t>
      </w:r>
    </w:p>
    <w:p>
      <w:pPr>
        <w:spacing w:line="360" w:lineRule="auto"/>
        <w:rPr>
          <w:rFonts w:ascii="微软雅黑" w:hAnsi="微软雅黑" w:eastAsia="微软雅黑"/>
          <w:szCs w:val="21"/>
        </w:rPr>
      </w:pPr>
      <w:r>
        <w:rPr>
          <w:rFonts w:hint="eastAsia" w:ascii="微软雅黑" w:hAnsi="微软雅黑" w:eastAsia="微软雅黑"/>
          <w:szCs w:val="21"/>
        </w:rPr>
        <w:t>3．工作培训</w:t>
      </w:r>
    </w:p>
    <w:p>
      <w:pPr>
        <w:spacing w:line="360" w:lineRule="auto"/>
        <w:rPr>
          <w:rFonts w:ascii="微软雅黑" w:hAnsi="微软雅黑" w:eastAsia="微软雅黑"/>
          <w:szCs w:val="21"/>
        </w:rPr>
      </w:pPr>
      <w:r>
        <w:rPr>
          <w:rFonts w:hint="eastAsia" w:ascii="微软雅黑" w:hAnsi="微软雅黑" w:eastAsia="微软雅黑"/>
          <w:szCs w:val="21"/>
        </w:rPr>
        <w:t>4．志愿者</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六、场地面积及设施建设</w:t>
      </w:r>
    </w:p>
    <w:p>
      <w:pPr>
        <w:spacing w:line="360" w:lineRule="auto"/>
        <w:rPr>
          <w:rFonts w:ascii="微软雅黑" w:hAnsi="微软雅黑" w:eastAsia="微软雅黑"/>
          <w:szCs w:val="21"/>
        </w:rPr>
      </w:pPr>
      <w:r>
        <w:rPr>
          <w:rFonts w:hint="eastAsia" w:ascii="微软雅黑" w:hAnsi="微软雅黑" w:eastAsia="微软雅黑"/>
          <w:szCs w:val="21"/>
        </w:rPr>
        <w:t>1．面积汇总</w:t>
      </w:r>
    </w:p>
    <w:p>
      <w:pPr>
        <w:spacing w:line="360" w:lineRule="auto"/>
        <w:rPr>
          <w:rFonts w:ascii="微软雅黑" w:hAnsi="微软雅黑" w:eastAsia="微软雅黑"/>
          <w:szCs w:val="21"/>
        </w:rPr>
      </w:pPr>
      <w:r>
        <w:rPr>
          <w:rFonts w:hint="eastAsia" w:ascii="微软雅黑" w:hAnsi="微软雅黑" w:eastAsia="微软雅黑"/>
          <w:szCs w:val="21"/>
        </w:rPr>
        <w:t>2. 阅览室座席数</w:t>
      </w:r>
    </w:p>
    <w:p>
      <w:pPr>
        <w:spacing w:line="360" w:lineRule="auto"/>
        <w:rPr>
          <w:rFonts w:ascii="微软雅黑" w:hAnsi="微软雅黑" w:eastAsia="微软雅黑"/>
          <w:szCs w:val="21"/>
        </w:rPr>
      </w:pPr>
      <w:r>
        <w:rPr>
          <w:rFonts w:hint="eastAsia" w:ascii="微软雅黑" w:hAnsi="微软雅黑" w:eastAsia="微软雅黑"/>
          <w:szCs w:val="21"/>
        </w:rPr>
        <w:t>3. 触摸媒体</w:t>
      </w:r>
    </w:p>
    <w:p>
      <w:pPr>
        <w:spacing w:line="360" w:lineRule="auto"/>
        <w:rPr>
          <w:rFonts w:ascii="微软雅黑" w:hAnsi="微软雅黑" w:eastAsia="微软雅黑"/>
          <w:szCs w:val="21"/>
        </w:rPr>
      </w:pPr>
      <w:r>
        <w:rPr>
          <w:rFonts w:hint="eastAsia" w:ascii="微软雅黑" w:hAnsi="微软雅黑" w:eastAsia="微软雅黑"/>
          <w:szCs w:val="21"/>
        </w:rPr>
        <w:t>4. 读者服务区无线网络覆盖率</w:t>
      </w:r>
    </w:p>
    <w:p>
      <w:pPr>
        <w:spacing w:line="360" w:lineRule="auto"/>
        <w:rPr>
          <w:rFonts w:ascii="微软雅黑" w:hAnsi="微软雅黑" w:eastAsia="微软雅黑"/>
          <w:szCs w:val="21"/>
        </w:rPr>
      </w:pPr>
      <w:r>
        <w:rPr>
          <w:rFonts w:hint="eastAsia" w:ascii="微软雅黑" w:hAnsi="微软雅黑" w:eastAsia="微软雅黑"/>
          <w:szCs w:val="21"/>
        </w:rPr>
        <w:t>5. 网络带宽</w:t>
      </w:r>
    </w:p>
    <w:p>
      <w:pPr>
        <w:spacing w:line="360" w:lineRule="auto"/>
        <w:rPr>
          <w:rFonts w:ascii="微软雅黑" w:hAnsi="微软雅黑" w:eastAsia="微软雅黑"/>
          <w:szCs w:val="21"/>
        </w:rPr>
      </w:pPr>
      <w:r>
        <w:rPr>
          <w:rFonts w:hint="eastAsia" w:ascii="微软雅黑" w:hAnsi="微软雅黑" w:eastAsia="微软雅黑"/>
          <w:szCs w:val="21"/>
        </w:rPr>
        <w:t>6. 存储容量</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七、馆藏统计</w:t>
      </w:r>
    </w:p>
    <w:p>
      <w:pPr>
        <w:spacing w:line="360" w:lineRule="auto"/>
        <w:rPr>
          <w:rFonts w:ascii="微软雅黑" w:hAnsi="微软雅黑" w:eastAsia="微软雅黑"/>
          <w:szCs w:val="21"/>
        </w:rPr>
      </w:pPr>
      <w:r>
        <w:rPr>
          <w:rFonts w:hint="eastAsia" w:ascii="微软雅黑" w:hAnsi="微软雅黑" w:eastAsia="微软雅黑"/>
          <w:szCs w:val="21"/>
        </w:rPr>
        <w:t>1. 图书及视听文献藏量</w:t>
      </w:r>
    </w:p>
    <w:p>
      <w:pPr>
        <w:spacing w:line="360" w:lineRule="auto"/>
        <w:rPr>
          <w:rFonts w:ascii="微软雅黑" w:hAnsi="微软雅黑" w:eastAsia="微软雅黑"/>
          <w:szCs w:val="21"/>
        </w:rPr>
      </w:pPr>
      <w:r>
        <w:rPr>
          <w:rFonts w:hint="eastAsia" w:ascii="微软雅黑" w:hAnsi="微软雅黑" w:eastAsia="微软雅黑"/>
          <w:szCs w:val="21"/>
        </w:rPr>
        <w:t>2. 本年新增馆藏</w:t>
      </w:r>
    </w:p>
    <w:p>
      <w:pPr>
        <w:spacing w:line="360" w:lineRule="auto"/>
        <w:rPr>
          <w:rFonts w:ascii="微软雅黑" w:hAnsi="微软雅黑" w:eastAsia="微软雅黑"/>
          <w:szCs w:val="21"/>
        </w:rPr>
      </w:pPr>
      <w:r>
        <w:rPr>
          <w:rFonts w:hint="eastAsia" w:ascii="微软雅黑" w:hAnsi="微软雅黑" w:eastAsia="微软雅黑"/>
          <w:szCs w:val="21"/>
        </w:rPr>
        <w:t>3. 本年订购报纸、期刊种类数</w:t>
      </w:r>
    </w:p>
    <w:p>
      <w:pPr>
        <w:spacing w:line="360" w:lineRule="auto"/>
        <w:rPr>
          <w:rFonts w:ascii="微软雅黑" w:hAnsi="微软雅黑" w:eastAsia="微软雅黑"/>
          <w:b/>
          <w:sz w:val="24"/>
          <w:szCs w:val="24"/>
        </w:rPr>
      </w:pPr>
      <w:r>
        <w:rPr>
          <w:rFonts w:hint="eastAsia" w:ascii="微软雅黑" w:hAnsi="微软雅黑" w:eastAsia="微软雅黑"/>
          <w:b/>
          <w:sz w:val="24"/>
          <w:szCs w:val="24"/>
          <w:lang w:eastAsia="zh-CN"/>
        </w:rPr>
        <w:t>八</w:t>
      </w:r>
      <w:r>
        <w:rPr>
          <w:rFonts w:hint="eastAsia" w:ascii="微软雅黑" w:hAnsi="微软雅黑" w:eastAsia="微软雅黑"/>
          <w:b/>
          <w:sz w:val="24"/>
          <w:szCs w:val="24"/>
        </w:rPr>
        <w:t>、业务工作情况</w:t>
      </w:r>
    </w:p>
    <w:p>
      <w:pPr>
        <w:spacing w:line="360" w:lineRule="auto"/>
        <w:rPr>
          <w:rFonts w:ascii="微软雅黑" w:hAnsi="微软雅黑" w:eastAsia="微软雅黑"/>
          <w:szCs w:val="21"/>
        </w:rPr>
      </w:pPr>
      <w:r>
        <w:rPr>
          <w:rFonts w:hint="eastAsia" w:ascii="微软雅黑" w:hAnsi="微软雅黑" w:eastAsia="微软雅黑"/>
          <w:szCs w:val="21"/>
        </w:rPr>
        <w:t>1. 基础服务</w:t>
      </w:r>
    </w:p>
    <w:p>
      <w:pPr>
        <w:spacing w:line="360" w:lineRule="auto"/>
        <w:rPr>
          <w:rFonts w:ascii="微软雅黑" w:hAnsi="微软雅黑" w:eastAsia="微软雅黑"/>
          <w:szCs w:val="21"/>
        </w:rPr>
      </w:pPr>
      <w:r>
        <w:rPr>
          <w:rFonts w:hint="eastAsia" w:ascii="微软雅黑" w:hAnsi="微软雅黑" w:eastAsia="微软雅黑"/>
          <w:szCs w:val="21"/>
        </w:rPr>
        <w:t>有效证件</w:t>
      </w:r>
    </w:p>
    <w:p>
      <w:pPr>
        <w:spacing w:line="360" w:lineRule="auto"/>
        <w:rPr>
          <w:rFonts w:ascii="微软雅黑" w:hAnsi="微软雅黑" w:eastAsia="微软雅黑"/>
          <w:szCs w:val="21"/>
        </w:rPr>
      </w:pPr>
      <w:r>
        <w:rPr>
          <w:rFonts w:hint="eastAsia" w:ascii="微软雅黑" w:hAnsi="微软雅黑" w:eastAsia="微软雅黑"/>
          <w:szCs w:val="21"/>
        </w:rPr>
        <w:t>网站访问量</w:t>
      </w:r>
    </w:p>
    <w:p>
      <w:pPr>
        <w:spacing w:line="360" w:lineRule="auto"/>
        <w:rPr>
          <w:rFonts w:ascii="微软雅黑" w:hAnsi="微软雅黑" w:eastAsia="微软雅黑"/>
          <w:szCs w:val="21"/>
        </w:rPr>
      </w:pPr>
      <w:r>
        <w:rPr>
          <w:rFonts w:hint="eastAsia" w:ascii="微软雅黑" w:hAnsi="微软雅黑" w:eastAsia="微软雅黑"/>
          <w:szCs w:val="21"/>
        </w:rPr>
        <w:t>2. 特殊群体服务</w:t>
      </w:r>
    </w:p>
    <w:p>
      <w:pPr>
        <w:spacing w:line="360" w:lineRule="auto"/>
        <w:rPr>
          <w:rFonts w:ascii="微软雅黑" w:hAnsi="微软雅黑" w:eastAsia="微软雅黑"/>
          <w:szCs w:val="21"/>
        </w:rPr>
      </w:pPr>
      <w:r>
        <w:rPr>
          <w:rFonts w:hint="eastAsia" w:ascii="微软雅黑" w:hAnsi="微软雅黑" w:eastAsia="微软雅黑"/>
          <w:szCs w:val="21"/>
        </w:rPr>
        <w:t>3. 数据库建设统计</w:t>
      </w:r>
    </w:p>
    <w:p>
      <w:pPr>
        <w:spacing w:line="360" w:lineRule="auto"/>
        <w:rPr>
          <w:rFonts w:ascii="微软雅黑" w:hAnsi="微软雅黑" w:eastAsia="微软雅黑"/>
          <w:szCs w:val="21"/>
        </w:rPr>
      </w:pPr>
      <w:r>
        <w:rPr>
          <w:rFonts w:hint="eastAsia" w:ascii="微软雅黑" w:hAnsi="微软雅黑" w:eastAsia="微软雅黑"/>
          <w:szCs w:val="21"/>
        </w:rPr>
        <w:t>本馆自建数据库</w:t>
      </w:r>
    </w:p>
    <w:p>
      <w:pPr>
        <w:spacing w:line="360" w:lineRule="auto"/>
        <w:rPr>
          <w:rFonts w:ascii="微软雅黑" w:hAnsi="微软雅黑" w:eastAsia="微软雅黑"/>
          <w:szCs w:val="21"/>
        </w:rPr>
      </w:pPr>
      <w:r>
        <w:rPr>
          <w:rFonts w:hint="eastAsia" w:ascii="微软雅黑" w:hAnsi="微软雅黑" w:eastAsia="微软雅黑"/>
          <w:szCs w:val="21"/>
        </w:rPr>
        <w:t>本馆购买数据库</w:t>
      </w:r>
    </w:p>
    <w:p>
      <w:pPr>
        <w:spacing w:line="360" w:lineRule="auto"/>
        <w:rPr>
          <w:rFonts w:ascii="微软雅黑" w:hAnsi="微软雅黑" w:eastAsia="微软雅黑"/>
          <w:szCs w:val="21"/>
        </w:rPr>
      </w:pPr>
      <w:r>
        <w:rPr>
          <w:rFonts w:hint="eastAsia" w:ascii="微软雅黑" w:hAnsi="微软雅黑" w:eastAsia="微软雅黑"/>
          <w:szCs w:val="21"/>
        </w:rPr>
        <w:t>4. 数字信息发布平台</w:t>
      </w:r>
    </w:p>
    <w:p>
      <w:pPr>
        <w:spacing w:line="360" w:lineRule="auto"/>
        <w:rPr>
          <w:rFonts w:ascii="微软雅黑" w:hAnsi="微软雅黑" w:eastAsia="微软雅黑"/>
          <w:szCs w:val="21"/>
        </w:rPr>
      </w:pPr>
      <w:r>
        <w:rPr>
          <w:rFonts w:hint="eastAsia" w:ascii="微软雅黑" w:hAnsi="微软雅黑" w:eastAsia="微软雅黑"/>
          <w:szCs w:val="21"/>
        </w:rPr>
        <w:t>5. 咨询服务</w:t>
      </w:r>
    </w:p>
    <w:p>
      <w:pPr>
        <w:spacing w:line="360" w:lineRule="auto"/>
        <w:rPr>
          <w:rFonts w:ascii="微软雅黑" w:hAnsi="微软雅黑" w:eastAsia="微软雅黑"/>
          <w:szCs w:val="21"/>
        </w:rPr>
      </w:pPr>
      <w:r>
        <w:rPr>
          <w:rFonts w:hint="eastAsia" w:ascii="微软雅黑" w:hAnsi="微软雅黑" w:eastAsia="微软雅黑"/>
          <w:szCs w:val="21"/>
        </w:rPr>
        <w:t>参考咨询</w:t>
      </w:r>
    </w:p>
    <w:p>
      <w:pPr>
        <w:spacing w:line="360" w:lineRule="auto"/>
        <w:rPr>
          <w:rFonts w:ascii="微软雅黑" w:hAnsi="微软雅黑" w:eastAsia="微软雅黑"/>
          <w:szCs w:val="21"/>
        </w:rPr>
      </w:pPr>
      <w:r>
        <w:rPr>
          <w:rFonts w:hint="eastAsia" w:ascii="微软雅黑" w:hAnsi="微软雅黑" w:eastAsia="微软雅黑"/>
          <w:szCs w:val="21"/>
        </w:rPr>
        <w:t>信息服务</w:t>
      </w:r>
    </w:p>
    <w:p>
      <w:pPr>
        <w:spacing w:line="360" w:lineRule="auto"/>
        <w:rPr>
          <w:rFonts w:ascii="微软雅黑" w:hAnsi="微软雅黑" w:eastAsia="微软雅黑"/>
          <w:szCs w:val="21"/>
        </w:rPr>
      </w:pPr>
      <w:r>
        <w:rPr>
          <w:rFonts w:hint="eastAsia" w:ascii="微软雅黑" w:hAnsi="微软雅黑" w:eastAsia="微软雅黑"/>
          <w:szCs w:val="21"/>
        </w:rPr>
        <w:t>专题咨询</w:t>
      </w:r>
    </w:p>
    <w:p>
      <w:pPr>
        <w:spacing w:line="360" w:lineRule="auto"/>
        <w:rPr>
          <w:rFonts w:ascii="微软雅黑" w:hAnsi="微软雅黑" w:eastAsia="微软雅黑"/>
          <w:szCs w:val="21"/>
        </w:rPr>
      </w:pPr>
      <w:r>
        <w:rPr>
          <w:rFonts w:ascii="微软雅黑" w:hAnsi="微软雅黑" w:eastAsia="微软雅黑"/>
          <w:szCs w:val="21"/>
        </w:rPr>
        <w:t>6</w:t>
      </w:r>
      <w:r>
        <w:rPr>
          <w:rFonts w:hint="eastAsia" w:ascii="微软雅黑" w:hAnsi="微软雅黑" w:eastAsia="微软雅黑"/>
          <w:szCs w:val="21"/>
        </w:rPr>
        <w:t>. 读者活动</w:t>
      </w:r>
    </w:p>
    <w:p>
      <w:pPr>
        <w:spacing w:line="360" w:lineRule="auto"/>
        <w:rPr>
          <w:rFonts w:ascii="微软雅黑" w:hAnsi="微软雅黑" w:eastAsia="微软雅黑"/>
          <w:szCs w:val="21"/>
        </w:rPr>
      </w:pPr>
      <w:r>
        <w:rPr>
          <w:rFonts w:ascii="微软雅黑" w:hAnsi="微软雅黑" w:eastAsia="微软雅黑"/>
          <w:szCs w:val="21"/>
        </w:rPr>
        <w:t>7</w:t>
      </w:r>
      <w:r>
        <w:rPr>
          <w:rFonts w:hint="eastAsia" w:ascii="微软雅黑" w:hAnsi="微软雅黑" w:eastAsia="微软雅黑"/>
          <w:szCs w:val="21"/>
        </w:rPr>
        <w:t>. 志愿者活动</w:t>
      </w:r>
    </w:p>
    <w:p>
      <w:pPr>
        <w:spacing w:line="360" w:lineRule="auto"/>
        <w:rPr>
          <w:rFonts w:ascii="微软雅黑" w:hAnsi="微软雅黑" w:eastAsia="微软雅黑"/>
          <w:szCs w:val="21"/>
        </w:rPr>
      </w:pPr>
      <w:r>
        <w:rPr>
          <w:rFonts w:ascii="微软雅黑" w:hAnsi="微软雅黑" w:eastAsia="微软雅黑"/>
          <w:szCs w:val="21"/>
        </w:rPr>
        <w:t>8</w:t>
      </w:r>
      <w:r>
        <w:rPr>
          <w:rFonts w:hint="eastAsia" w:ascii="微软雅黑" w:hAnsi="微软雅黑" w:eastAsia="微软雅黑"/>
          <w:szCs w:val="21"/>
        </w:rPr>
        <w:t>. 媒体报道</w:t>
      </w:r>
    </w:p>
    <w:p>
      <w:pPr>
        <w:spacing w:line="360" w:lineRule="auto"/>
        <w:rPr>
          <w:rFonts w:ascii="微软雅黑" w:hAnsi="微软雅黑" w:eastAsia="微软雅黑"/>
          <w:b/>
          <w:sz w:val="24"/>
          <w:szCs w:val="24"/>
        </w:rPr>
      </w:pPr>
      <w:r>
        <w:rPr>
          <w:rFonts w:hint="eastAsia" w:ascii="微软雅黑" w:hAnsi="微软雅黑" w:eastAsia="微软雅黑"/>
          <w:b/>
          <w:sz w:val="24"/>
          <w:szCs w:val="24"/>
          <w:lang w:eastAsia="zh-CN"/>
        </w:rPr>
        <w:t>九</w:t>
      </w:r>
      <w:r>
        <w:rPr>
          <w:rFonts w:hint="eastAsia" w:ascii="微软雅黑" w:hAnsi="微软雅黑" w:eastAsia="微软雅黑"/>
          <w:b/>
          <w:sz w:val="24"/>
          <w:szCs w:val="24"/>
        </w:rPr>
        <w:t>、获得表彰</w:t>
      </w:r>
    </w:p>
    <w:p>
      <w:pPr>
        <w:spacing w:line="360" w:lineRule="auto"/>
        <w:rPr>
          <w:rFonts w:ascii="微软雅黑" w:hAnsi="微软雅黑" w:eastAsia="微软雅黑"/>
          <w:b/>
          <w:sz w:val="24"/>
          <w:szCs w:val="24"/>
        </w:rPr>
      </w:pPr>
    </w:p>
    <w:p>
      <w:pPr>
        <w:spacing w:line="360" w:lineRule="auto"/>
        <w:rPr>
          <w:rFonts w:hint="eastAsia" w:ascii="微软雅黑" w:hAnsi="微软雅黑" w:eastAsia="微软雅黑"/>
          <w:b/>
          <w:sz w:val="24"/>
          <w:szCs w:val="24"/>
        </w:rPr>
      </w:pPr>
    </w:p>
    <w:p>
      <w:pPr>
        <w:spacing w:line="360" w:lineRule="auto"/>
        <w:jc w:val="center"/>
        <w:rPr>
          <w:rFonts w:hint="eastAsia" w:ascii="Tahoma" w:hAnsi="Tahoma" w:eastAsia="微软雅黑"/>
          <w:b/>
          <w:kern w:val="0"/>
          <w:sz w:val="24"/>
          <w:szCs w:val="24"/>
        </w:rPr>
      </w:pPr>
    </w:p>
    <w:p>
      <w:pPr>
        <w:spacing w:line="360" w:lineRule="auto"/>
        <w:jc w:val="center"/>
        <w:rPr>
          <w:rFonts w:hint="eastAsia" w:ascii="Tahoma" w:hAnsi="Tahoma" w:eastAsia="微软雅黑"/>
          <w:b/>
          <w:kern w:val="0"/>
          <w:sz w:val="24"/>
          <w:szCs w:val="24"/>
        </w:rPr>
      </w:pPr>
    </w:p>
    <w:p>
      <w:pPr>
        <w:spacing w:line="360" w:lineRule="auto"/>
        <w:jc w:val="center"/>
        <w:rPr>
          <w:rFonts w:hint="eastAsia" w:ascii="Tahoma" w:hAnsi="Tahoma" w:eastAsia="微软雅黑"/>
          <w:b/>
          <w:kern w:val="0"/>
          <w:sz w:val="24"/>
          <w:szCs w:val="24"/>
        </w:rPr>
      </w:pPr>
    </w:p>
    <w:p>
      <w:pPr>
        <w:spacing w:line="360" w:lineRule="auto"/>
        <w:jc w:val="center"/>
        <w:rPr>
          <w:rFonts w:hint="eastAsia" w:ascii="Tahoma" w:hAnsi="Tahoma" w:eastAsia="微软雅黑"/>
          <w:b/>
          <w:kern w:val="0"/>
          <w:sz w:val="24"/>
          <w:szCs w:val="24"/>
        </w:rPr>
      </w:pPr>
    </w:p>
    <w:p>
      <w:pPr>
        <w:spacing w:line="360" w:lineRule="auto"/>
        <w:jc w:val="center"/>
        <w:rPr>
          <w:rFonts w:ascii="Tahoma" w:hAnsi="Tahoma" w:eastAsia="微软雅黑"/>
          <w:b/>
          <w:kern w:val="0"/>
          <w:sz w:val="24"/>
          <w:szCs w:val="24"/>
        </w:rPr>
      </w:pPr>
      <w:r>
        <w:rPr>
          <w:rFonts w:hint="eastAsia" w:ascii="Tahoma" w:hAnsi="Tahoma" w:eastAsia="微软雅黑"/>
          <w:b/>
          <w:kern w:val="0"/>
          <w:sz w:val="24"/>
          <w:szCs w:val="24"/>
        </w:rPr>
        <w:t>一、闵行区图书馆</w:t>
      </w:r>
      <w:r>
        <w:rPr>
          <w:rFonts w:hint="eastAsia" w:ascii="微软雅黑" w:hAnsi="微软雅黑" w:eastAsia="微软雅黑"/>
          <w:b/>
          <w:sz w:val="24"/>
          <w:szCs w:val="24"/>
        </w:rPr>
        <w:t>二〇一八</w:t>
      </w:r>
      <w:r>
        <w:rPr>
          <w:rFonts w:hint="eastAsia" w:ascii="Tahoma" w:hAnsi="Tahoma" w:eastAsia="微软雅黑"/>
          <w:b/>
          <w:kern w:val="0"/>
          <w:sz w:val="24"/>
          <w:szCs w:val="24"/>
        </w:rPr>
        <w:t>年工作计划</w:t>
      </w:r>
    </w:p>
    <w:p>
      <w:pPr>
        <w:spacing w:line="360" w:lineRule="auto"/>
        <w:ind w:firstLine="420" w:firstLineChars="200"/>
        <w:rPr>
          <w:rFonts w:ascii="宋体" w:hAnsi="宋体" w:eastAsia="宋体"/>
          <w:szCs w:val="21"/>
        </w:rPr>
      </w:pPr>
      <w:r>
        <w:rPr>
          <w:rFonts w:hint="eastAsia" w:ascii="宋体" w:hAnsi="宋体" w:eastAsia="宋体"/>
          <w:szCs w:val="21"/>
        </w:rPr>
        <w:t>2018年，我馆将在继续做好传统项目工作的基础上，以重点工作为抓手，不断拓展图书馆服务新方式，让图书馆服务更贴近读者需求。基本思路就是：以读者需求为导向，科学化、合理化发展图书馆馆藏；以全心全意服务读者为理念，立足窗口服务工作实际，进一步提升图书流通与读者接待工作服务效能；以品牌化、精品化为策略，进一步拓展、深化读者活动主题内涵，突出读者活动的品牌效应；以更加开放的姿态，拓展更多的读者阅读与文化休闲空间；以更加积极的热情，推动法人治理及区域总分馆建设。依据此思路，2</w:t>
      </w:r>
      <w:r>
        <w:rPr>
          <w:rFonts w:ascii="宋体" w:hAnsi="宋体" w:eastAsia="宋体"/>
          <w:szCs w:val="21"/>
        </w:rPr>
        <w:t>018</w:t>
      </w:r>
      <w:r>
        <w:rPr>
          <w:rFonts w:hint="eastAsia" w:ascii="宋体" w:hAnsi="宋体" w:eastAsia="宋体"/>
          <w:szCs w:val="21"/>
        </w:rPr>
        <w:t>年我馆将重点做好以下几方面的工作：</w:t>
      </w:r>
    </w:p>
    <w:p>
      <w:pPr>
        <w:spacing w:line="360" w:lineRule="auto"/>
        <w:rPr>
          <w:rFonts w:ascii="微软雅黑" w:hAnsi="微软雅黑" w:eastAsia="微软雅黑"/>
          <w:b/>
          <w:szCs w:val="21"/>
        </w:rPr>
      </w:pPr>
      <w:r>
        <w:rPr>
          <w:rFonts w:hint="eastAsia" w:ascii="微软雅黑" w:hAnsi="微软雅黑" w:eastAsia="微软雅黑"/>
          <w:b/>
          <w:szCs w:val="21"/>
        </w:rPr>
        <w:t>一、馆藏发展</w:t>
      </w:r>
    </w:p>
    <w:p>
      <w:pPr>
        <w:spacing w:line="360" w:lineRule="auto"/>
        <w:ind w:firstLine="420" w:firstLineChars="200"/>
        <w:rPr>
          <w:rFonts w:ascii="宋体" w:hAnsi="宋体" w:eastAsia="宋体"/>
          <w:szCs w:val="21"/>
        </w:rPr>
      </w:pPr>
      <w:r>
        <w:rPr>
          <w:rFonts w:hint="eastAsia" w:ascii="宋体" w:hAnsi="宋体" w:eastAsia="宋体"/>
          <w:szCs w:val="21"/>
        </w:rPr>
        <w:t>由于本馆的馆舍面积及馆藏容量所限，使得在馆藏发展与读者需求方面的矛盾比较突出，针对这一问题，2</w:t>
      </w:r>
      <w:r>
        <w:rPr>
          <w:rFonts w:ascii="宋体" w:hAnsi="宋体" w:eastAsia="宋体"/>
          <w:szCs w:val="21"/>
        </w:rPr>
        <w:t>018</w:t>
      </w:r>
      <w:r>
        <w:rPr>
          <w:rFonts w:hint="eastAsia" w:ascii="宋体" w:hAnsi="宋体" w:eastAsia="宋体"/>
          <w:szCs w:val="21"/>
        </w:rPr>
        <w:t>年我们要在积极争取财政经费支持的同时，加强馆藏科学化管理，同时也要积极探索数字资源发展以及数字资源服务的新模式、新方法。</w:t>
      </w:r>
    </w:p>
    <w:p>
      <w:pPr>
        <w:spacing w:line="360" w:lineRule="auto"/>
        <w:ind w:firstLine="420" w:firstLineChars="200"/>
        <w:rPr>
          <w:rFonts w:ascii="宋体" w:hAnsi="宋体" w:eastAsia="宋体"/>
          <w:szCs w:val="21"/>
        </w:rPr>
      </w:pPr>
      <w:r>
        <w:rPr>
          <w:rFonts w:hint="eastAsia" w:ascii="宋体" w:hAnsi="宋体" w:eastAsia="宋体"/>
          <w:szCs w:val="21"/>
        </w:rPr>
        <w:t>（1）在购书经费预算方面，按以前人均2元的方法计算，专项预算额应为508万元。就此，本馆将积极与上级及财政部门积极协商、争取落实。</w:t>
      </w:r>
    </w:p>
    <w:p>
      <w:pPr>
        <w:spacing w:line="360" w:lineRule="auto"/>
        <w:ind w:firstLine="420" w:firstLineChars="200"/>
        <w:rPr>
          <w:rFonts w:ascii="宋体" w:hAnsi="宋体" w:eastAsia="宋体"/>
          <w:szCs w:val="21"/>
        </w:rPr>
      </w:pPr>
      <w:r>
        <w:rPr>
          <w:rFonts w:hint="eastAsia" w:ascii="宋体" w:hAnsi="宋体" w:eastAsia="宋体"/>
          <w:szCs w:val="21"/>
        </w:rPr>
        <w:t>（2）在馆藏管理上，一是采用馆藏零增长模式。经过这么多年的馆藏发展，馆藏容量已经饱和，出现新书无法上架的现象，二楼少儿图书借阅区情况尤为突出。鉴于此，原有的馆藏发展策略必须有所改变。二是要形成有效的馆藏剔旧机制，及时对一些利用率低、破损严重的图书进行剔旧、报废处理。三是在馆藏采访方面多下功夫，多研究读者需求，多采购读者需要的图书，提高文献服务的精准化，提升馆藏利用率。</w:t>
      </w:r>
    </w:p>
    <w:p>
      <w:pPr>
        <w:spacing w:line="360" w:lineRule="auto"/>
        <w:ind w:firstLine="420" w:firstLineChars="200"/>
        <w:rPr>
          <w:rFonts w:ascii="宋体" w:hAnsi="宋体" w:eastAsia="宋体"/>
          <w:szCs w:val="21"/>
        </w:rPr>
      </w:pPr>
      <w:r>
        <w:rPr>
          <w:rFonts w:hint="eastAsia" w:ascii="宋体" w:hAnsi="宋体" w:eastAsia="宋体"/>
          <w:szCs w:val="21"/>
        </w:rPr>
        <w:t>（3）在数字资源的推广与利用上，我馆不仅要加大数字资源的采购，更要在促进数字资源利用方面多做些尝试。一是通过举办培训，持之以恒地开展读者数字素养教育活动，计划每双月举办一期。推介本馆数字资源、介绍使用方法与技巧，促进利用率提高；二是引进“蓝悦盒子”项目，将数字图书资源送进军营，满足部队官兵的阅读需要，为拥军作贡献，实现精准化图书馆服务。</w:t>
      </w:r>
    </w:p>
    <w:p>
      <w:pPr>
        <w:spacing w:line="360" w:lineRule="auto"/>
        <w:rPr>
          <w:rFonts w:ascii="微软雅黑" w:hAnsi="微软雅黑" w:eastAsia="微软雅黑"/>
          <w:b/>
          <w:szCs w:val="21"/>
        </w:rPr>
      </w:pPr>
      <w:r>
        <w:rPr>
          <w:rFonts w:hint="eastAsia" w:ascii="微软雅黑" w:hAnsi="微软雅黑" w:eastAsia="微软雅黑"/>
          <w:b/>
          <w:szCs w:val="21"/>
        </w:rPr>
        <w:t>二、读者服务</w:t>
      </w:r>
    </w:p>
    <w:p>
      <w:pPr>
        <w:spacing w:line="360" w:lineRule="auto"/>
        <w:ind w:firstLine="420" w:firstLineChars="200"/>
        <w:rPr>
          <w:rFonts w:ascii="宋体" w:hAnsi="宋体" w:eastAsia="宋体"/>
          <w:szCs w:val="21"/>
        </w:rPr>
      </w:pPr>
      <w:r>
        <w:rPr>
          <w:rFonts w:hint="eastAsia" w:ascii="宋体" w:hAnsi="宋体" w:eastAsia="宋体"/>
          <w:szCs w:val="21"/>
        </w:rPr>
        <w:t>我馆多年以来连续为上海市中心图书馆先进集体，各项业务指标均居上海区县图书馆前列，这充分体现了本馆在读者服务方面的卓有成效。不管是在图书上架与入藏，还是在读者接待、图书借还、书刊阅览等方面，都取得了很好的成绩。</w:t>
      </w:r>
    </w:p>
    <w:p>
      <w:pPr>
        <w:spacing w:line="360" w:lineRule="auto"/>
        <w:ind w:firstLine="420" w:firstLineChars="200"/>
        <w:rPr>
          <w:rFonts w:ascii="宋体" w:hAnsi="宋体" w:eastAsia="宋体"/>
          <w:szCs w:val="21"/>
        </w:rPr>
      </w:pPr>
      <w:r>
        <w:rPr>
          <w:rFonts w:ascii="宋体" w:hAnsi="宋体" w:eastAsia="宋体"/>
          <w:szCs w:val="21"/>
        </w:rPr>
        <w:t>2018</w:t>
      </w:r>
      <w:r>
        <w:rPr>
          <w:rFonts w:hint="eastAsia" w:ascii="宋体" w:hAnsi="宋体" w:eastAsia="宋体"/>
          <w:szCs w:val="21"/>
        </w:rPr>
        <w:t>年，我们要在总结经验的基础上，继续做好、做足读者服务的质量与效应，巩固已有成绩，时刻关注读者需求，扎实做好窗口阵地的读者服务工作。同时要在改善阅读环境方面，提高阅读场所文化氛围良好体验，重点是进一步完善RFID自助借阅服务功能，在RFID一期、二期项目的基础上，争取财政经费支持，研究与探索智能书架应用的可能性，力求在智能分拣、智能清点、馆藏统计、阅读统计、精确定位索书等早点应用在读者服务环节，让读者在图书流通环节充分感受到信息化的便利。</w:t>
      </w:r>
    </w:p>
    <w:p>
      <w:pPr>
        <w:spacing w:line="360" w:lineRule="auto"/>
        <w:rPr>
          <w:rFonts w:ascii="微软雅黑" w:hAnsi="微软雅黑" w:eastAsia="微软雅黑"/>
          <w:b/>
          <w:szCs w:val="21"/>
        </w:rPr>
      </w:pPr>
      <w:r>
        <w:rPr>
          <w:rFonts w:hint="eastAsia" w:ascii="微软雅黑" w:hAnsi="微软雅黑" w:eastAsia="微软雅黑"/>
          <w:b/>
          <w:szCs w:val="21"/>
        </w:rPr>
        <w:t>三、读者活动</w:t>
      </w:r>
    </w:p>
    <w:p>
      <w:pPr>
        <w:spacing w:line="360" w:lineRule="auto"/>
        <w:ind w:firstLine="420" w:firstLineChars="200"/>
        <w:rPr>
          <w:rFonts w:ascii="宋体" w:hAnsi="宋体" w:eastAsia="宋体"/>
          <w:szCs w:val="21"/>
        </w:rPr>
      </w:pPr>
      <w:r>
        <w:rPr>
          <w:rFonts w:hint="eastAsia" w:ascii="宋体" w:hAnsi="宋体" w:eastAsia="宋体"/>
          <w:szCs w:val="21"/>
        </w:rPr>
        <w:t>目前我馆敏读会、闵图妈妈小屋、公益文化讲座、市民文化学堂等读者活动品牌，经过近几年的精心培育，在业界算是小有名气。这些读者活动涵盖讲座、培训、展览、阅读推广、读书会等活动类型，其中一些活动的组织、策划等也引入了社会第三方力量参与，使活动的社会影响力得以不断扩大，在推动全民阅读的过程中发挥了重要作用，取得了很好的社会效应。</w:t>
      </w:r>
    </w:p>
    <w:p>
      <w:pPr>
        <w:spacing w:line="360" w:lineRule="auto"/>
        <w:ind w:firstLine="420" w:firstLineChars="200"/>
        <w:rPr>
          <w:rFonts w:ascii="宋体" w:hAnsi="宋体" w:eastAsia="宋体"/>
          <w:szCs w:val="21"/>
        </w:rPr>
      </w:pPr>
      <w:r>
        <w:rPr>
          <w:rFonts w:ascii="宋体" w:hAnsi="宋体" w:eastAsia="宋体"/>
          <w:szCs w:val="21"/>
        </w:rPr>
        <w:t>2018</w:t>
      </w:r>
      <w:r>
        <w:rPr>
          <w:rFonts w:hint="eastAsia" w:ascii="宋体" w:hAnsi="宋体" w:eastAsia="宋体"/>
          <w:szCs w:val="21"/>
        </w:rPr>
        <w:t>年，我馆将一些具有明显的本馆或本地区特色的读者活动项目，如敏读会、闵图妈妈小屋等活动明确品牌化的发展路线。一是注册品牌，比如设计统一的品牌名称、LOGO等，正式申请注册品牌，并在平常的宣传推广中加以显著应用。二是坚持实施精品化、品牌化的策略，继续在活动的品质、内涵、主题方面下功夫，活动内容设计的更贴合读者需要，更注重活动主题的品质。三是尝试设立年度活动主题，围绕此主题再确定各品牌活动的内容，这样可以形成整体协同效应，扩大读者活动在促进全民阅读、引领社会阅读风尚方面发挥更大的社会影响力。</w:t>
      </w:r>
    </w:p>
    <w:p>
      <w:pPr>
        <w:spacing w:line="360" w:lineRule="auto"/>
        <w:ind w:firstLine="420" w:firstLineChars="200"/>
        <w:rPr>
          <w:rFonts w:ascii="宋体" w:hAnsi="宋体" w:eastAsia="宋体"/>
          <w:szCs w:val="21"/>
        </w:rPr>
      </w:pPr>
      <w:r>
        <w:rPr>
          <w:rFonts w:hint="eastAsia" w:ascii="宋体" w:hAnsi="宋体" w:eastAsia="宋体"/>
          <w:szCs w:val="21"/>
        </w:rPr>
        <w:t>另外，举办闵行区亲子朗读大赛，作为上海市民文化节的一项活动内容。该赛事分为初赛、复赛的 决赛三个环节。10月份在本馆组织举办一场全市性的演绎活动。</w:t>
      </w:r>
    </w:p>
    <w:p>
      <w:pPr>
        <w:spacing w:line="360" w:lineRule="auto"/>
        <w:rPr>
          <w:rFonts w:ascii="微软雅黑" w:hAnsi="微软雅黑" w:eastAsia="微软雅黑"/>
          <w:b/>
          <w:szCs w:val="21"/>
        </w:rPr>
      </w:pPr>
      <w:r>
        <w:rPr>
          <w:rFonts w:hint="eastAsia" w:ascii="微软雅黑" w:hAnsi="微软雅黑" w:eastAsia="微软雅黑"/>
          <w:b/>
          <w:szCs w:val="21"/>
        </w:rPr>
        <w:t>四、法人治理结构建设</w:t>
      </w:r>
    </w:p>
    <w:p>
      <w:pPr>
        <w:spacing w:line="360" w:lineRule="auto"/>
        <w:ind w:firstLine="420" w:firstLineChars="200"/>
        <w:rPr>
          <w:rFonts w:ascii="宋体" w:hAnsi="宋体" w:eastAsia="宋体"/>
          <w:szCs w:val="21"/>
        </w:rPr>
      </w:pPr>
      <w:r>
        <w:rPr>
          <w:rFonts w:hint="eastAsia" w:ascii="宋体" w:hAnsi="宋体" w:eastAsia="宋体"/>
          <w:szCs w:val="21"/>
        </w:rPr>
        <w:t>为了积极探索公共文化体制机制创新，稳定推进图书馆法人治理结构的建设工作。我馆将以文化部《公共文化机构法人治理结构试点工作方案》为指导，学习文化部及上海市的相关文件精神，结合本馆的实际情况，着眼于社会公众参与服务反馈机制，吸纳一批热心社会公益、掌握专业技能的议事员，</w:t>
      </w:r>
      <w:r>
        <w:rPr>
          <w:rFonts w:ascii="宋体" w:hAnsi="宋体" w:eastAsia="宋体"/>
          <w:szCs w:val="21"/>
        </w:rPr>
        <w:t xml:space="preserve"> </w:t>
      </w:r>
      <w:r>
        <w:rPr>
          <w:rFonts w:hint="eastAsia" w:ascii="宋体" w:hAnsi="宋体" w:eastAsia="宋体"/>
          <w:szCs w:val="21"/>
        </w:rPr>
        <w:t>实行公共图书馆决策、执行和监督三权相对分离，相互制约，相互促进。基本形成政府宏观管理、图书馆自主办事业、社会力量积极参与的办馆格局，建立“闵行区图书馆理事会”。争取上半年完成理事会组建工作，召开第一届第一次理事会议。</w:t>
      </w:r>
    </w:p>
    <w:p>
      <w:pPr>
        <w:spacing w:line="360" w:lineRule="auto"/>
        <w:ind w:firstLine="420" w:firstLineChars="200"/>
        <w:rPr>
          <w:rFonts w:ascii="宋体" w:hAnsi="宋体" w:eastAsia="宋体"/>
          <w:szCs w:val="21"/>
        </w:rPr>
      </w:pPr>
    </w:p>
    <w:p>
      <w:pPr>
        <w:spacing w:line="360" w:lineRule="auto"/>
        <w:rPr>
          <w:rFonts w:ascii="微软雅黑" w:hAnsi="微软雅黑" w:eastAsia="微软雅黑"/>
          <w:b/>
          <w:szCs w:val="21"/>
        </w:rPr>
      </w:pPr>
      <w:r>
        <w:rPr>
          <w:rFonts w:hint="eastAsia" w:ascii="微软雅黑" w:hAnsi="微软雅黑" w:eastAsia="微软雅黑"/>
          <w:b/>
          <w:szCs w:val="21"/>
        </w:rPr>
        <w:t>五、区域总分馆建设</w:t>
      </w:r>
    </w:p>
    <w:p>
      <w:pPr>
        <w:spacing w:line="360" w:lineRule="auto"/>
        <w:ind w:firstLine="420" w:firstLineChars="200"/>
        <w:rPr>
          <w:rFonts w:ascii="宋体" w:hAnsi="宋体" w:eastAsia="宋体"/>
          <w:szCs w:val="21"/>
        </w:rPr>
      </w:pPr>
      <w:r>
        <w:rPr>
          <w:rFonts w:hint="eastAsia" w:ascii="宋体" w:hAnsi="宋体" w:eastAsia="宋体"/>
          <w:szCs w:val="21"/>
        </w:rPr>
        <w:t>根据市文广局《关于推进上海市区级图书馆总分馆制建设的实施意见》要求和总体部署，需要在年底完成闵行区各街镇（工业区）及村居、社区三级总分馆的建设。此项工作任务比较急且重，本区街镇、村居共有</w:t>
      </w:r>
      <w:r>
        <w:rPr>
          <w:rFonts w:ascii="宋体" w:hAnsi="宋体" w:eastAsia="宋体"/>
          <w:szCs w:val="21"/>
        </w:rPr>
        <w:t>506家三级分馆，加上14家街镇馆二级分馆，共计520家，</w:t>
      </w:r>
      <w:r>
        <w:rPr>
          <w:rFonts w:hint="eastAsia" w:ascii="宋体" w:hAnsi="宋体" w:eastAsia="宋体"/>
          <w:szCs w:val="21"/>
        </w:rPr>
        <w:t>我馆要</w:t>
      </w:r>
      <w:r>
        <w:rPr>
          <w:rFonts w:ascii="宋体" w:hAnsi="宋体" w:eastAsia="宋体"/>
          <w:szCs w:val="21"/>
        </w:rPr>
        <w:t>完成</w:t>
      </w:r>
      <w:r>
        <w:rPr>
          <w:rFonts w:hint="eastAsia" w:ascii="宋体" w:hAnsi="宋体" w:eastAsia="宋体"/>
          <w:szCs w:val="21"/>
        </w:rPr>
        <w:t>与各级分馆之间的</w:t>
      </w:r>
      <w:r>
        <w:rPr>
          <w:rFonts w:ascii="宋体" w:hAnsi="宋体" w:eastAsia="宋体"/>
          <w:szCs w:val="21"/>
        </w:rPr>
        <w:t>签约、挂牌</w:t>
      </w:r>
      <w:r>
        <w:rPr>
          <w:rFonts w:hint="eastAsia" w:ascii="宋体" w:hAnsi="宋体" w:eastAsia="宋体"/>
          <w:szCs w:val="21"/>
        </w:rPr>
        <w:t>与</w:t>
      </w:r>
      <w:r>
        <w:rPr>
          <w:rFonts w:ascii="宋体" w:hAnsi="宋体" w:eastAsia="宋体"/>
          <w:szCs w:val="21"/>
        </w:rPr>
        <w:t>配书等工作。</w:t>
      </w:r>
    </w:p>
    <w:p>
      <w:pPr>
        <w:spacing w:line="360" w:lineRule="auto"/>
        <w:ind w:firstLine="420" w:firstLineChars="200"/>
        <w:rPr>
          <w:rFonts w:ascii="宋体" w:hAnsi="宋体" w:eastAsia="宋体"/>
          <w:szCs w:val="21"/>
        </w:rPr>
      </w:pPr>
      <w:r>
        <w:rPr>
          <w:rFonts w:hint="eastAsia" w:ascii="宋体" w:hAnsi="宋体" w:eastAsia="宋体"/>
          <w:szCs w:val="21"/>
        </w:rPr>
        <w:t>上半年完成调研，制订好方案，下半年按计划稳步推进，争取年底完成。</w:t>
      </w:r>
    </w:p>
    <w:p>
      <w:pPr>
        <w:spacing w:line="360" w:lineRule="auto"/>
        <w:rPr>
          <w:rFonts w:ascii="微软雅黑" w:hAnsi="微软雅黑" w:eastAsia="微软雅黑"/>
          <w:b/>
          <w:szCs w:val="21"/>
        </w:rPr>
      </w:pPr>
      <w:r>
        <w:rPr>
          <w:rFonts w:hint="eastAsia" w:ascii="微软雅黑" w:hAnsi="微软雅黑" w:eastAsia="微软雅黑"/>
          <w:b/>
          <w:szCs w:val="21"/>
        </w:rPr>
        <w:t>六、</w:t>
      </w:r>
      <w:r>
        <w:rPr>
          <w:rFonts w:ascii="微软雅黑" w:hAnsi="微软雅黑" w:eastAsia="微软雅黑"/>
          <w:b/>
          <w:szCs w:val="21"/>
        </w:rPr>
        <w:t>文明创建工作</w:t>
      </w:r>
    </w:p>
    <w:p>
      <w:pPr>
        <w:spacing w:line="360" w:lineRule="auto"/>
        <w:ind w:firstLine="420" w:firstLineChars="200"/>
        <w:rPr>
          <w:rFonts w:ascii="宋体" w:hAnsi="宋体" w:eastAsia="宋体"/>
          <w:szCs w:val="21"/>
        </w:rPr>
      </w:pPr>
      <w:r>
        <w:rPr>
          <w:rFonts w:hint="eastAsia" w:ascii="宋体" w:hAnsi="宋体" w:eastAsia="宋体"/>
          <w:szCs w:val="21"/>
        </w:rPr>
        <w:t>今年是</w:t>
      </w:r>
      <w:r>
        <w:rPr>
          <w:rFonts w:ascii="宋体" w:hAnsi="宋体" w:eastAsia="宋体"/>
          <w:szCs w:val="21"/>
        </w:rPr>
        <w:t>2017-2018年度文明单位创建年，各项创建工作正按计划有条不紊地开展，同</w:t>
      </w:r>
      <w:r>
        <w:rPr>
          <w:rFonts w:hint="eastAsia" w:ascii="宋体" w:hAnsi="宋体" w:eastAsia="宋体"/>
          <w:szCs w:val="21"/>
        </w:rPr>
        <w:t>时本馆成立了创建材料整理小组，收这一轮创建年份的材料进行收集、整理、归档，为上传申报材料做准备。</w:t>
      </w:r>
    </w:p>
    <w:p>
      <w:pPr>
        <w:spacing w:line="360" w:lineRule="auto"/>
        <w:ind w:firstLine="420" w:firstLineChars="200"/>
        <w:rPr>
          <w:rFonts w:ascii="宋体" w:hAnsi="宋体" w:eastAsia="宋体"/>
          <w:szCs w:val="21"/>
        </w:rPr>
      </w:pPr>
      <w:r>
        <w:rPr>
          <w:rFonts w:hint="eastAsia" w:ascii="宋体" w:hAnsi="宋体" w:eastAsia="宋体"/>
          <w:szCs w:val="21"/>
        </w:rPr>
        <w:t>今年也启动了新一轮创全工作，积极参与闵行区创建全国文明城区，按上级要求认真落实并做好各项服务工作。</w:t>
      </w:r>
    </w:p>
    <w:p>
      <w:pPr>
        <w:spacing w:line="360" w:lineRule="auto"/>
        <w:rPr>
          <w:rFonts w:ascii="微软雅黑" w:hAnsi="微软雅黑" w:eastAsia="微软雅黑"/>
          <w:b/>
          <w:szCs w:val="21"/>
        </w:rPr>
      </w:pPr>
      <w:r>
        <w:rPr>
          <w:rFonts w:hint="eastAsia" w:ascii="微软雅黑" w:hAnsi="微软雅黑" w:eastAsia="微软雅黑"/>
          <w:b/>
          <w:szCs w:val="21"/>
        </w:rPr>
        <w:t>七、推进城市书房项目建设</w:t>
      </w:r>
    </w:p>
    <w:p>
      <w:pPr>
        <w:spacing w:line="360" w:lineRule="auto"/>
        <w:ind w:firstLine="420" w:firstLineChars="200"/>
        <w:rPr>
          <w:rFonts w:ascii="宋体" w:hAnsi="宋体" w:eastAsia="宋体"/>
          <w:szCs w:val="21"/>
        </w:rPr>
      </w:pPr>
      <w:r>
        <w:rPr>
          <w:rFonts w:hint="eastAsia" w:ascii="宋体" w:hAnsi="宋体" w:eastAsia="宋体"/>
          <w:szCs w:val="21"/>
        </w:rPr>
        <w:t>在去年实施闵行城市书房项目建设取得成功的基础上，今年我馆将继续积极配合区文广局做好该项目顺利推进，争取在江川、莘庄、梅陇、古美能有新的城市书房完成建设与开放。在此过程中，本馆既要做好前期指导工作，同时也要做好新建城市书房的网络技术支持、图书配置等工作。</w:t>
      </w:r>
    </w:p>
    <w:p>
      <w:pPr>
        <w:spacing w:line="360" w:lineRule="auto"/>
        <w:rPr>
          <w:rFonts w:ascii="微软雅黑" w:hAnsi="微软雅黑" w:eastAsia="微软雅黑"/>
          <w:b/>
          <w:szCs w:val="21"/>
        </w:rPr>
      </w:pPr>
      <w:r>
        <w:rPr>
          <w:rFonts w:hint="eastAsia" w:ascii="微软雅黑" w:hAnsi="微软雅黑" w:eastAsia="微软雅黑"/>
          <w:b/>
          <w:szCs w:val="21"/>
        </w:rPr>
        <w:t>八、新书你先读</w:t>
      </w:r>
    </w:p>
    <w:p>
      <w:pPr>
        <w:spacing w:line="360" w:lineRule="auto"/>
        <w:ind w:firstLine="420" w:firstLineChars="200"/>
        <w:rPr>
          <w:rFonts w:ascii="宋体" w:hAnsi="宋体" w:eastAsia="宋体"/>
          <w:szCs w:val="21"/>
        </w:rPr>
      </w:pPr>
      <w:r>
        <w:rPr>
          <w:rFonts w:hint="eastAsia" w:ascii="宋体" w:hAnsi="宋体" w:eastAsia="宋体"/>
          <w:szCs w:val="21"/>
        </w:rPr>
        <w:t>“新书你先读”活动，既是一种满足读者个性化阅读需求的创新，也是将馆藏发展与读者需求对接的一种有益尝试，能更加有效地、直接地了解读者需求，以此作为馆藏结构调整策略的参考依据。201</w:t>
      </w:r>
      <w:r>
        <w:rPr>
          <w:rFonts w:ascii="宋体" w:hAnsi="宋体" w:eastAsia="宋体"/>
          <w:szCs w:val="21"/>
        </w:rPr>
        <w:t>8</w:t>
      </w:r>
      <w:r>
        <w:rPr>
          <w:rFonts w:hint="eastAsia" w:ascii="宋体" w:hAnsi="宋体" w:eastAsia="宋体"/>
          <w:szCs w:val="21"/>
        </w:rPr>
        <w:t xml:space="preserve">年要继续做好该项工作，一方面为读者提供更加个性化的阅读服务，另一方面也为新建设的城市书房积累更加能满足读者需求的馆藏资源。 </w:t>
      </w:r>
      <w:r>
        <w:rPr>
          <w:rFonts w:ascii="宋体" w:hAnsi="宋体" w:eastAsia="宋体"/>
          <w:szCs w:val="21"/>
        </w:rPr>
        <w:t xml:space="preserve"> </w:t>
      </w: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二、闵行区图书馆2018年工作总结</w:t>
      </w:r>
    </w:p>
    <w:p>
      <w:pPr>
        <w:spacing w:line="360" w:lineRule="auto"/>
        <w:ind w:firstLine="420" w:firstLineChars="200"/>
        <w:rPr>
          <w:rFonts w:ascii="宋体" w:hAnsi="宋体" w:eastAsia="宋体"/>
          <w:szCs w:val="21"/>
        </w:rPr>
      </w:pPr>
      <w:r>
        <w:rPr>
          <w:rFonts w:hint="eastAsia" w:ascii="宋体" w:hAnsi="宋体" w:eastAsia="宋体"/>
          <w:szCs w:val="21"/>
        </w:rPr>
        <w:t>2018年，我馆在继续做好传统项目工作的基础上，以重点工作为抓手，不断拓展图书馆服务新方式，让图书馆服务更贴近读者需求，一方面以读者需求为导向，科学化、合理化发展图书馆馆藏，另一方面以全心全意服务读者为理念，立足窗口服务工作实际，进一步提升图书流通与读者接待工作服务效能，以品牌化、精品化为策略，进一步拓展、深化读者活动主题内涵，突出读者活动的品牌效应，为更好地服务于读者、更好地服务于闵行文化事业发展做出了应有的努力。</w:t>
      </w:r>
    </w:p>
    <w:p>
      <w:pPr>
        <w:spacing w:line="360" w:lineRule="auto"/>
        <w:ind w:left="360"/>
        <w:jc w:val="left"/>
        <w:rPr>
          <w:rFonts w:ascii="微软雅黑" w:hAnsi="微软雅黑" w:eastAsia="微软雅黑"/>
          <w:b/>
          <w:szCs w:val="21"/>
        </w:rPr>
      </w:pPr>
      <w:r>
        <w:rPr>
          <w:rFonts w:hint="eastAsia" w:ascii="微软雅黑" w:hAnsi="微软雅黑" w:eastAsia="微软雅黑"/>
          <w:b/>
          <w:szCs w:val="21"/>
        </w:rPr>
        <w:t>一、读者服务工作平衡有序，保障了广大读者的基本阅读需要</w:t>
      </w:r>
    </w:p>
    <w:p>
      <w:pPr>
        <w:spacing w:line="360" w:lineRule="auto"/>
        <w:ind w:firstLine="420" w:firstLineChars="200"/>
        <w:rPr>
          <w:rFonts w:ascii="宋体" w:hAnsi="宋体" w:eastAsia="宋体"/>
          <w:szCs w:val="21"/>
        </w:rPr>
      </w:pPr>
      <w:r>
        <w:rPr>
          <w:rFonts w:hint="eastAsia" w:ascii="宋体" w:hAnsi="宋体" w:eastAsia="宋体"/>
          <w:szCs w:val="21"/>
        </w:rPr>
        <w:t>读者服务工作是图书馆基础性核心业务工作，今年上半年，我馆继续狠抓一线窗口部门的服务水平及服务效率，开展文明创建、设立党员示范岗等活动，增强职工内部凝聚力，倡导建立长效服务机制，追求高效服务读者，为广大读者提供方便、快捷、有用的服务。这一活动有效推动了窗口服务的读者满意度。</w:t>
      </w:r>
    </w:p>
    <w:p>
      <w:pPr>
        <w:spacing w:line="360" w:lineRule="auto"/>
        <w:ind w:firstLine="422" w:firstLineChars="200"/>
        <w:jc w:val="left"/>
        <w:rPr>
          <w:rFonts w:asciiTheme="minorEastAsia" w:hAnsiTheme="minorEastAsia"/>
          <w:szCs w:val="21"/>
        </w:rPr>
      </w:pPr>
      <w:r>
        <w:rPr>
          <w:rFonts w:hint="eastAsia" w:asciiTheme="minorEastAsia" w:hAnsiTheme="minorEastAsia"/>
          <w:b/>
          <w:szCs w:val="21"/>
        </w:rPr>
        <w:t>1、借阅服务。</w:t>
      </w:r>
      <w:r>
        <w:rPr>
          <w:rFonts w:hint="eastAsia" w:asciiTheme="minorEastAsia" w:hAnsiTheme="minorEastAsia"/>
          <w:szCs w:val="21"/>
        </w:rPr>
        <w:t>图书借还、阅览是图书馆最基础的窗口读者服务。全年</w:t>
      </w:r>
      <w:r>
        <w:rPr>
          <w:rFonts w:asciiTheme="minorEastAsia" w:hAnsiTheme="minorEastAsia"/>
          <w:szCs w:val="21"/>
        </w:rPr>
        <w:t>读者借书141.34万册次，还书138.96万册次</w:t>
      </w:r>
      <w:r>
        <w:rPr>
          <w:rFonts w:hint="eastAsia" w:asciiTheme="minorEastAsia" w:hAnsiTheme="minorEastAsia"/>
          <w:szCs w:val="21"/>
        </w:rPr>
        <w:t>，</w:t>
      </w:r>
      <w:r>
        <w:rPr>
          <w:rFonts w:asciiTheme="minorEastAsia" w:hAnsiTheme="minorEastAsia"/>
          <w:szCs w:val="21"/>
        </w:rPr>
        <w:t>其中少儿外借量</w:t>
      </w:r>
      <w:r>
        <w:rPr>
          <w:rFonts w:hint="eastAsia" w:asciiTheme="minorEastAsia" w:hAnsiTheme="minorEastAsia"/>
          <w:szCs w:val="21"/>
        </w:rPr>
        <w:t>约</w:t>
      </w:r>
      <w:r>
        <w:rPr>
          <w:rFonts w:asciiTheme="minorEastAsia" w:hAnsiTheme="minorEastAsia"/>
          <w:szCs w:val="21"/>
        </w:rPr>
        <w:t>占</w:t>
      </w:r>
      <w:r>
        <w:rPr>
          <w:rFonts w:hint="eastAsia" w:asciiTheme="minorEastAsia" w:hAnsiTheme="minorEastAsia"/>
          <w:szCs w:val="21"/>
        </w:rPr>
        <w:t>4</w:t>
      </w:r>
      <w:r>
        <w:rPr>
          <w:rFonts w:asciiTheme="minorEastAsia" w:hAnsiTheme="minorEastAsia"/>
          <w:szCs w:val="21"/>
        </w:rPr>
        <w:t>5%，达到63.23万册次</w:t>
      </w:r>
      <w:r>
        <w:rPr>
          <w:rFonts w:hint="eastAsia" w:asciiTheme="minorEastAsia" w:hAnsiTheme="minorEastAsia"/>
          <w:szCs w:val="21"/>
        </w:rPr>
        <w:t>，</w:t>
      </w:r>
      <w:r>
        <w:rPr>
          <w:rFonts w:asciiTheme="minorEastAsia" w:hAnsiTheme="minorEastAsia"/>
          <w:szCs w:val="21"/>
        </w:rPr>
        <w:t>还书</w:t>
      </w:r>
      <w:r>
        <w:rPr>
          <w:rFonts w:hint="eastAsia" w:asciiTheme="minorEastAsia" w:hAnsiTheme="minorEastAsia"/>
          <w:szCs w:val="21"/>
        </w:rPr>
        <w:t>62.26</w:t>
      </w:r>
      <w:r>
        <w:rPr>
          <w:rFonts w:asciiTheme="minorEastAsia" w:hAnsiTheme="minorEastAsia"/>
          <w:szCs w:val="21"/>
        </w:rPr>
        <w:t>万册次，接待到馆读者131.91万人次。为读者办理借书证8277张，目前持证读者高达13.11万张。</w:t>
      </w:r>
      <w:r>
        <w:rPr>
          <w:rFonts w:hint="eastAsia" w:asciiTheme="minorEastAsia" w:hAnsiTheme="minorEastAsia"/>
          <w:szCs w:val="21"/>
        </w:rPr>
        <w:t>办理交大图书馆读者证8</w:t>
      </w:r>
      <w:r>
        <w:rPr>
          <w:rFonts w:asciiTheme="minorEastAsia" w:hAnsiTheme="minorEastAsia"/>
          <w:szCs w:val="21"/>
        </w:rPr>
        <w:t>09</w:t>
      </w:r>
      <w:r>
        <w:rPr>
          <w:rFonts w:hint="eastAsia" w:asciiTheme="minorEastAsia" w:hAnsiTheme="minorEastAsia"/>
          <w:szCs w:val="21"/>
        </w:rPr>
        <w:t>张。</w:t>
      </w:r>
    </w:p>
    <w:p>
      <w:pPr>
        <w:spacing w:line="360" w:lineRule="auto"/>
        <w:ind w:firstLine="422" w:firstLineChars="200"/>
        <w:jc w:val="left"/>
        <w:rPr>
          <w:rFonts w:asciiTheme="minorEastAsia" w:hAnsiTheme="minorEastAsia"/>
          <w:szCs w:val="21"/>
        </w:rPr>
      </w:pPr>
      <w:r>
        <w:rPr>
          <w:rFonts w:hint="eastAsia" w:asciiTheme="minorEastAsia" w:hAnsiTheme="minorEastAsia"/>
          <w:b/>
          <w:szCs w:val="21"/>
        </w:rPr>
        <w:t>2、数字服务。</w:t>
      </w:r>
      <w:r>
        <w:rPr>
          <w:rFonts w:hint="eastAsia" w:asciiTheme="minorEastAsia" w:hAnsiTheme="minorEastAsia"/>
          <w:szCs w:val="21"/>
        </w:rPr>
        <w:t>今年初由于网站安全管理需要而关停，网站访问量及数字资源远程访问受到一定影响，但其它的数字服务正常提供。全年</w:t>
      </w:r>
      <w:r>
        <w:rPr>
          <w:rFonts w:asciiTheme="minorEastAsia" w:hAnsiTheme="minorEastAsia"/>
          <w:szCs w:val="21"/>
        </w:rPr>
        <w:t>无线上网</w:t>
      </w:r>
      <w:r>
        <w:rPr>
          <w:rFonts w:hint="eastAsia" w:asciiTheme="minorEastAsia" w:hAnsiTheme="minorEastAsia"/>
          <w:szCs w:val="21"/>
        </w:rPr>
        <w:t>12</w:t>
      </w:r>
      <w:r>
        <w:rPr>
          <w:rFonts w:asciiTheme="minorEastAsia" w:hAnsiTheme="minorEastAsia"/>
          <w:szCs w:val="21"/>
        </w:rPr>
        <w:t>.</w:t>
      </w:r>
      <w:r>
        <w:rPr>
          <w:rFonts w:hint="eastAsia" w:asciiTheme="minorEastAsia" w:hAnsiTheme="minorEastAsia"/>
          <w:szCs w:val="21"/>
        </w:rPr>
        <w:t>34</w:t>
      </w:r>
      <w:r>
        <w:rPr>
          <w:rFonts w:asciiTheme="minorEastAsia" w:hAnsiTheme="minorEastAsia"/>
          <w:szCs w:val="21"/>
        </w:rPr>
        <w:t>万人次</w:t>
      </w:r>
      <w:r>
        <w:rPr>
          <w:rFonts w:hint="eastAsia" w:asciiTheme="minorEastAsia" w:hAnsiTheme="minorEastAsia"/>
          <w:szCs w:val="21"/>
        </w:rPr>
        <w:t>，数字资源检索量</w:t>
      </w:r>
      <w:r>
        <w:rPr>
          <w:rFonts w:hint="eastAsia" w:ascii="宋体" w:hAnsi="宋体" w:eastAsia="宋体" w:cs="宋体"/>
          <w:color w:val="000000"/>
        </w:rPr>
        <w:t>6525876</w:t>
      </w:r>
      <w:r>
        <w:rPr>
          <w:rFonts w:hint="eastAsia" w:asciiTheme="minorEastAsia" w:hAnsiTheme="minorEastAsia"/>
          <w:szCs w:val="21"/>
        </w:rPr>
        <w:t>篇次，访问量</w:t>
      </w:r>
      <w:r>
        <w:rPr>
          <w:rFonts w:hint="eastAsia" w:ascii="宋体" w:hAnsi="宋体" w:eastAsia="宋体" w:cs="宋体"/>
          <w:color w:val="000000"/>
        </w:rPr>
        <w:t>5932612</w:t>
      </w:r>
      <w:r>
        <w:rPr>
          <w:rFonts w:hint="eastAsia" w:asciiTheme="minorEastAsia" w:hAnsiTheme="minorEastAsia"/>
          <w:szCs w:val="21"/>
        </w:rPr>
        <w:t>篇次、微信端访问量</w:t>
      </w:r>
      <w:r>
        <w:rPr>
          <w:rFonts w:hint="eastAsia" w:ascii="宋体" w:hAnsi="宋体" w:eastAsia="宋体" w:cs="宋体"/>
          <w:color w:val="000000"/>
        </w:rPr>
        <w:t>104117</w:t>
      </w:r>
      <w:r>
        <w:rPr>
          <w:rFonts w:hint="eastAsia" w:asciiTheme="minorEastAsia" w:hAnsiTheme="minorEastAsia"/>
          <w:szCs w:val="21"/>
        </w:rPr>
        <w:t>篇次</w:t>
      </w:r>
      <w:r>
        <w:rPr>
          <w:rFonts w:asciiTheme="minorEastAsia" w:hAnsiTheme="minorEastAsia"/>
          <w:szCs w:val="21"/>
        </w:rPr>
        <w:t xml:space="preserve"> </w:t>
      </w:r>
      <w:r>
        <w:rPr>
          <w:rFonts w:hint="eastAsia" w:asciiTheme="minorEastAsia" w:hAnsiTheme="minorEastAsia"/>
          <w:szCs w:val="21"/>
        </w:rPr>
        <w:t>、下载量</w:t>
      </w:r>
      <w:r>
        <w:rPr>
          <w:rFonts w:hint="eastAsia" w:ascii="宋体" w:hAnsi="宋体" w:eastAsia="宋体" w:cs="宋体"/>
          <w:color w:val="000000"/>
        </w:rPr>
        <w:t>513494</w:t>
      </w:r>
      <w:r>
        <w:rPr>
          <w:rFonts w:hint="eastAsia" w:asciiTheme="minorEastAsia" w:hAnsiTheme="minorEastAsia"/>
          <w:szCs w:val="21"/>
        </w:rPr>
        <w:t>篇次，电子图书外借</w:t>
      </w:r>
      <w:r>
        <w:rPr>
          <w:rFonts w:hint="eastAsia" w:ascii="宋体" w:hAnsi="宋体" w:eastAsia="宋体" w:cs="宋体"/>
          <w:color w:val="000000"/>
        </w:rPr>
        <w:t>144112</w:t>
      </w:r>
      <w:r>
        <w:rPr>
          <w:rFonts w:hint="eastAsia" w:asciiTheme="minorEastAsia" w:hAnsiTheme="minorEastAsia"/>
          <w:szCs w:val="21"/>
        </w:rPr>
        <w:t>册次。</w:t>
      </w:r>
    </w:p>
    <w:p>
      <w:pPr>
        <w:spacing w:line="360" w:lineRule="auto"/>
        <w:ind w:firstLine="422" w:firstLineChars="200"/>
        <w:jc w:val="left"/>
        <w:rPr>
          <w:rFonts w:ascii="宋体" w:hAnsi="宋体" w:eastAsia="宋体"/>
          <w:szCs w:val="21"/>
        </w:rPr>
      </w:pPr>
      <w:r>
        <w:rPr>
          <w:rFonts w:asciiTheme="minorEastAsia" w:hAnsiTheme="minorEastAsia"/>
          <w:b/>
          <w:szCs w:val="21"/>
        </w:rPr>
        <w:t>3</w:t>
      </w:r>
      <w:r>
        <w:rPr>
          <w:rFonts w:hint="eastAsia" w:asciiTheme="minorEastAsia" w:hAnsiTheme="minorEastAsia"/>
          <w:b/>
          <w:szCs w:val="21"/>
        </w:rPr>
        <w:t>、馆藏发展。</w:t>
      </w:r>
      <w:r>
        <w:rPr>
          <w:rFonts w:hint="eastAsia" w:asciiTheme="minorEastAsia" w:hAnsiTheme="minorEastAsia"/>
          <w:szCs w:val="21"/>
        </w:rPr>
        <w:t>年初按采购计划顺利完成了报纸、期刊征订工作，共征订报刊1455种，其中少儿报刊2</w:t>
      </w:r>
      <w:r>
        <w:rPr>
          <w:rFonts w:asciiTheme="minorEastAsia" w:hAnsiTheme="minorEastAsia"/>
          <w:szCs w:val="21"/>
        </w:rPr>
        <w:t>38</w:t>
      </w:r>
      <w:r>
        <w:rPr>
          <w:rFonts w:hint="eastAsia" w:asciiTheme="minorEastAsia" w:hAnsiTheme="minorEastAsia"/>
          <w:szCs w:val="21"/>
        </w:rPr>
        <w:t>种</w:t>
      </w:r>
      <w:r>
        <w:rPr>
          <w:rFonts w:hint="eastAsia" w:ascii="宋体" w:hAnsi="宋体" w:eastAsia="宋体"/>
          <w:szCs w:val="21"/>
        </w:rPr>
        <w:t>；</w:t>
      </w:r>
      <w:r>
        <w:rPr>
          <w:rFonts w:ascii="宋体" w:hAnsi="宋体" w:eastAsia="宋体"/>
          <w:szCs w:val="21"/>
        </w:rPr>
        <w:t>完成图书采购招标，启动全年文献资源采购计划，截止</w:t>
      </w:r>
      <w:r>
        <w:rPr>
          <w:rFonts w:hint="eastAsia" w:ascii="宋体" w:hAnsi="宋体" w:eastAsia="宋体"/>
          <w:szCs w:val="21"/>
        </w:rPr>
        <w:t>年</w:t>
      </w:r>
      <w:r>
        <w:rPr>
          <w:rFonts w:ascii="宋体" w:hAnsi="宋体" w:eastAsia="宋体"/>
          <w:szCs w:val="21"/>
        </w:rPr>
        <w:t>底共采购新书80315册，新上架入藏图书</w:t>
      </w:r>
      <w:r>
        <w:rPr>
          <w:rFonts w:hint="eastAsia" w:ascii="宋体" w:hAnsi="宋体" w:eastAsia="宋体"/>
          <w:szCs w:val="21"/>
        </w:rPr>
        <w:t>91037</w:t>
      </w:r>
      <w:r>
        <w:rPr>
          <w:rFonts w:ascii="宋体" w:hAnsi="宋体" w:eastAsia="宋体"/>
          <w:szCs w:val="21"/>
        </w:rPr>
        <w:t>册。</w:t>
      </w:r>
    </w:p>
    <w:p>
      <w:pPr>
        <w:spacing w:line="360" w:lineRule="auto"/>
        <w:ind w:left="482"/>
        <w:rPr>
          <w:rFonts w:ascii="微软雅黑" w:hAnsi="微软雅黑" w:eastAsia="微软雅黑"/>
          <w:b/>
          <w:szCs w:val="21"/>
        </w:rPr>
      </w:pPr>
      <w:r>
        <w:rPr>
          <w:rFonts w:hint="eastAsia" w:ascii="微软雅黑" w:hAnsi="微软雅黑" w:eastAsia="微软雅黑"/>
          <w:b/>
          <w:szCs w:val="21"/>
        </w:rPr>
        <w:t>4、“新书你先读”活动</w:t>
      </w:r>
    </w:p>
    <w:p>
      <w:pPr>
        <w:spacing w:line="360" w:lineRule="auto"/>
        <w:ind w:firstLine="420" w:firstLineChars="200"/>
        <w:rPr>
          <w:rFonts w:ascii="宋体" w:hAnsi="宋体" w:eastAsia="宋体"/>
          <w:szCs w:val="21"/>
        </w:rPr>
      </w:pPr>
      <w:r>
        <w:rPr>
          <w:rFonts w:hint="eastAsia" w:ascii="宋体" w:hAnsi="宋体" w:eastAsia="宋体"/>
          <w:szCs w:val="21"/>
        </w:rPr>
        <w:t>201</w:t>
      </w:r>
      <w:r>
        <w:rPr>
          <w:rFonts w:ascii="宋体" w:hAnsi="宋体" w:eastAsia="宋体"/>
          <w:szCs w:val="21"/>
        </w:rPr>
        <w:t>8</w:t>
      </w:r>
      <w:r>
        <w:rPr>
          <w:rFonts w:hint="eastAsia" w:ascii="宋体" w:hAnsi="宋体" w:eastAsia="宋体"/>
          <w:szCs w:val="21"/>
        </w:rPr>
        <w:t>年“新书你先读”活动业已完成。该活动既是一种满足读者个性化阅读需求的创新，也是将馆藏发展与读者需求对接的一种有益尝试，能更加有效地、直接地了解读者需求，以此作为馆藏结构调整策略的参考依据。</w:t>
      </w:r>
    </w:p>
    <w:p>
      <w:pPr>
        <w:spacing w:line="360" w:lineRule="auto"/>
        <w:ind w:firstLine="420" w:firstLineChars="200"/>
        <w:rPr>
          <w:rFonts w:ascii="宋体" w:hAnsi="宋体" w:eastAsia="宋体"/>
          <w:szCs w:val="21"/>
        </w:rPr>
      </w:pPr>
    </w:p>
    <w:p>
      <w:pPr>
        <w:spacing w:line="360" w:lineRule="auto"/>
        <w:jc w:val="left"/>
        <w:rPr>
          <w:rFonts w:ascii="微软雅黑" w:hAnsi="微软雅黑" w:eastAsia="微软雅黑"/>
          <w:b/>
          <w:szCs w:val="21"/>
        </w:rPr>
      </w:pPr>
      <w:r>
        <w:rPr>
          <w:rFonts w:hint="eastAsia" w:asciiTheme="minorEastAsia" w:hAnsiTheme="minorEastAsia"/>
          <w:bCs/>
          <w:szCs w:val="21"/>
        </w:rPr>
        <w:t xml:space="preserve"> </w:t>
      </w:r>
      <w:r>
        <w:rPr>
          <w:rFonts w:asciiTheme="minorEastAsia" w:hAnsiTheme="minorEastAsia"/>
          <w:bCs/>
          <w:szCs w:val="21"/>
        </w:rPr>
        <w:t xml:space="preserve">   </w:t>
      </w:r>
      <w:r>
        <w:rPr>
          <w:rFonts w:hint="eastAsia" w:ascii="微软雅黑" w:hAnsi="微软雅黑" w:eastAsia="微软雅黑"/>
          <w:b/>
          <w:szCs w:val="21"/>
        </w:rPr>
        <w:t>二、读者活动创新亮点纷呈，提升了全民阅读推广的影响力</w:t>
      </w:r>
    </w:p>
    <w:p>
      <w:pPr>
        <w:spacing w:line="360" w:lineRule="auto"/>
        <w:ind w:firstLine="420" w:firstLineChars="200"/>
        <w:rPr>
          <w:rFonts w:ascii="宋体" w:hAnsi="宋体" w:eastAsia="宋体"/>
          <w:szCs w:val="21"/>
        </w:rPr>
      </w:pPr>
      <w:r>
        <w:rPr>
          <w:rFonts w:hint="eastAsia" w:ascii="宋体" w:hAnsi="宋体" w:eastAsia="宋体"/>
          <w:szCs w:val="21"/>
        </w:rPr>
        <w:t>2</w:t>
      </w:r>
      <w:r>
        <w:rPr>
          <w:rFonts w:ascii="宋体" w:hAnsi="宋体" w:eastAsia="宋体"/>
          <w:szCs w:val="21"/>
        </w:rPr>
        <w:t>018</w:t>
      </w:r>
      <w:r>
        <w:rPr>
          <w:rFonts w:hint="eastAsia" w:ascii="宋体" w:hAnsi="宋体" w:eastAsia="宋体"/>
          <w:szCs w:val="21"/>
        </w:rPr>
        <w:t>年</w:t>
      </w:r>
      <w:r>
        <w:rPr>
          <w:rFonts w:ascii="宋体" w:hAnsi="宋体" w:eastAsia="宋体"/>
          <w:szCs w:val="21"/>
        </w:rPr>
        <w:t>共举办敏读会、闵图妈妈小屋系列活动公益文化讲座等读者活动</w:t>
      </w:r>
      <w:r>
        <w:rPr>
          <w:rFonts w:hint="eastAsia" w:ascii="宋体" w:hAnsi="宋体" w:eastAsia="宋体"/>
          <w:szCs w:val="21"/>
        </w:rPr>
        <w:t>139</w:t>
      </w:r>
      <w:r>
        <w:rPr>
          <w:rFonts w:ascii="宋体" w:hAnsi="宋体" w:eastAsia="宋体"/>
          <w:szCs w:val="21"/>
        </w:rPr>
        <w:t>场，</w:t>
      </w:r>
      <w:r>
        <w:rPr>
          <w:rFonts w:hint="eastAsia" w:ascii="宋体" w:hAnsi="宋体" w:eastAsia="宋体"/>
          <w:szCs w:val="21"/>
        </w:rPr>
        <w:t>35751</w:t>
      </w:r>
      <w:r>
        <w:rPr>
          <w:rFonts w:ascii="宋体" w:hAnsi="宋体" w:eastAsia="宋体"/>
          <w:szCs w:val="21"/>
        </w:rPr>
        <w:t>名读者参与。</w:t>
      </w:r>
      <w:r>
        <w:rPr>
          <w:rFonts w:hint="eastAsia" w:ascii="宋体" w:hAnsi="宋体" w:eastAsia="宋体"/>
          <w:szCs w:val="21"/>
        </w:rPr>
        <w:t>举办活动场次及</w:t>
      </w:r>
      <w:r>
        <w:rPr>
          <w:rFonts w:ascii="宋体" w:hAnsi="宋体" w:eastAsia="宋体"/>
          <w:szCs w:val="21"/>
        </w:rPr>
        <w:t>参与读者活动的人数比去年同期</w:t>
      </w:r>
      <w:r>
        <w:rPr>
          <w:rFonts w:hint="eastAsia" w:ascii="宋体" w:hAnsi="宋体" w:eastAsia="宋体"/>
          <w:szCs w:val="21"/>
        </w:rPr>
        <w:t>都有</w:t>
      </w:r>
      <w:r>
        <w:rPr>
          <w:rFonts w:ascii="宋体" w:hAnsi="宋体" w:eastAsia="宋体"/>
          <w:szCs w:val="21"/>
        </w:rPr>
        <w:t>增长。</w:t>
      </w:r>
    </w:p>
    <w:p>
      <w:pPr>
        <w:pStyle w:val="14"/>
        <w:numPr>
          <w:ilvl w:val="0"/>
          <w:numId w:val="1"/>
        </w:numPr>
        <w:spacing w:line="360" w:lineRule="auto"/>
        <w:ind w:firstLineChars="0"/>
        <w:jc w:val="left"/>
        <w:rPr>
          <w:rFonts w:ascii="微软雅黑" w:hAnsi="微软雅黑" w:eastAsia="微软雅黑"/>
          <w:b/>
          <w:szCs w:val="21"/>
        </w:rPr>
      </w:pPr>
      <w:r>
        <w:rPr>
          <w:rFonts w:hint="eastAsia" w:ascii="微软雅黑" w:hAnsi="微软雅黑" w:eastAsia="微软雅黑"/>
          <w:b/>
          <w:szCs w:val="21"/>
        </w:rPr>
        <w:t>亮点一：完成了经典读者活动品牌的注册工作。</w:t>
      </w:r>
    </w:p>
    <w:p>
      <w:pPr>
        <w:spacing w:line="360" w:lineRule="auto"/>
        <w:ind w:firstLine="420" w:firstLineChars="200"/>
        <w:rPr>
          <w:rFonts w:ascii="宋体" w:hAnsi="宋体" w:eastAsia="宋体"/>
          <w:szCs w:val="21"/>
        </w:rPr>
      </w:pPr>
      <w:r>
        <w:rPr>
          <w:rFonts w:hint="eastAsia" w:ascii="宋体" w:hAnsi="宋体" w:eastAsia="宋体"/>
          <w:szCs w:val="21"/>
        </w:rPr>
        <w:t>经过几年的坚持不懈地运作，如敏读会、公益文化讲座、闵图妈妈小屋等读者活动赢得了广大读者认可，不仅每场活动大家热情参与，而且在业界也有很好的口碑，敏读会、闵图妈妈小屋曾多次获得中图学会和市级奖项。年初我馆对这些读者活动进行了梳理，收集整理相关的品牌注册材料，上交相关部门审核，顺利取得品牌许可。这为以后更加规范地做好读者活动的策划、设计、实施、评估/评价、反馈等环节的工作打下了良好的基础，对以后更好地提升读者活动的社会影响力和社会效应提供了品牌保障。</w:t>
      </w:r>
    </w:p>
    <w:p>
      <w:pPr>
        <w:pStyle w:val="14"/>
        <w:numPr>
          <w:ilvl w:val="0"/>
          <w:numId w:val="1"/>
        </w:numPr>
        <w:spacing w:line="360" w:lineRule="auto"/>
        <w:ind w:firstLineChars="0"/>
        <w:jc w:val="left"/>
        <w:rPr>
          <w:rFonts w:ascii="微软雅黑" w:hAnsi="微软雅黑" w:eastAsia="微软雅黑"/>
          <w:b/>
          <w:szCs w:val="21"/>
        </w:rPr>
      </w:pPr>
      <w:r>
        <w:rPr>
          <w:rFonts w:hint="eastAsia" w:ascii="微软雅黑" w:hAnsi="微软雅黑" w:eastAsia="微软雅黑"/>
          <w:b/>
          <w:szCs w:val="21"/>
        </w:rPr>
        <w:t>亮点二：读者活动的内容和形式有所创新与拓展。</w:t>
      </w:r>
    </w:p>
    <w:p>
      <w:pPr>
        <w:spacing w:line="360" w:lineRule="auto"/>
        <w:ind w:firstLine="420" w:firstLineChars="200"/>
        <w:rPr>
          <w:rFonts w:ascii="宋体" w:hAnsi="宋体" w:eastAsia="宋体"/>
          <w:szCs w:val="21"/>
        </w:rPr>
      </w:pPr>
      <w:r>
        <w:rPr>
          <w:rFonts w:hint="eastAsia" w:ascii="宋体" w:hAnsi="宋体" w:eastAsia="宋体"/>
          <w:szCs w:val="21"/>
        </w:rPr>
        <w:t>闵图妈妈小屋的活动内容也有创新，在保持原有的绘本阅读分享、英语情景阅读分享、故事会等形式的基础上，也引入了“朗读天使”、“哈利波特与魔法石”之类的多形式阅读推广活动。举办“第一次遇见科学”、“自然课堂”、“樊登小读者”等活动，将少儿活动内容从文学绘本阅读拓展到科普知识教育和辅导方面，激发了广大少儿读者的阅读兴趣，扩展了少儿读者比较广泛的阅读面，培养了少儿读者爱科学、懂科学、尊重科学的科学素养。</w:t>
      </w:r>
    </w:p>
    <w:p>
      <w:pPr>
        <w:spacing w:line="360" w:lineRule="auto"/>
        <w:ind w:firstLine="420" w:firstLineChars="200"/>
        <w:rPr>
          <w:rFonts w:ascii="宋体" w:hAnsi="宋体" w:eastAsia="宋体"/>
          <w:szCs w:val="21"/>
        </w:rPr>
      </w:pPr>
      <w:r>
        <w:rPr>
          <w:rFonts w:hint="eastAsia" w:ascii="宋体" w:hAnsi="宋体" w:eastAsia="宋体"/>
          <w:szCs w:val="21"/>
        </w:rPr>
        <w:t>敏读会更是创新开展敏读讲座、敏读书声，不仅将深阅读、品味阅读从小众分享交流的形式扩展到以讲座形式的阅读技能大众传授，敏读书声更是将经典阅读内容分享与朗读相结合的形式，吸引了广大阅读爱好者和朗读爱好者。</w:t>
      </w:r>
    </w:p>
    <w:p>
      <w:pPr>
        <w:pStyle w:val="14"/>
        <w:numPr>
          <w:ilvl w:val="0"/>
          <w:numId w:val="1"/>
        </w:numPr>
        <w:spacing w:line="360" w:lineRule="auto"/>
        <w:ind w:firstLineChars="0"/>
        <w:jc w:val="left"/>
        <w:rPr>
          <w:rFonts w:ascii="微软雅黑" w:hAnsi="微软雅黑" w:eastAsia="微软雅黑"/>
          <w:b/>
          <w:szCs w:val="21"/>
        </w:rPr>
      </w:pPr>
      <w:r>
        <w:rPr>
          <w:rFonts w:hint="eastAsia" w:ascii="微软雅黑" w:hAnsi="微软雅黑" w:eastAsia="微软雅黑"/>
          <w:b/>
          <w:szCs w:val="21"/>
        </w:rPr>
        <w:t>亮点三：读者活动走出一条第三方社会力量参与合作之路。</w:t>
      </w:r>
    </w:p>
    <w:p>
      <w:pPr>
        <w:spacing w:line="360" w:lineRule="auto"/>
        <w:ind w:firstLine="420" w:firstLineChars="200"/>
        <w:rPr>
          <w:rFonts w:ascii="宋体" w:hAnsi="宋体" w:eastAsia="宋体"/>
          <w:szCs w:val="21"/>
        </w:rPr>
      </w:pPr>
      <w:r>
        <w:rPr>
          <w:rFonts w:hint="eastAsia" w:ascii="宋体" w:hAnsi="宋体" w:eastAsia="宋体"/>
          <w:szCs w:val="21"/>
        </w:rPr>
        <w:t>（1）与社会公益组织合作，组织志愿者团队。闵图妈妈小屋与和普公益长期合作，在活动策划、阅读志愿者等方面展开深度对接。除了公益志愿组织外，我馆还与闵行实验小学合作，组建致力于推广儿童绘本阅读，儿童心理健康发展的教师志愿者团队，还有一个与上师大心理学硕士研究生组成故事志愿团队。</w:t>
      </w:r>
    </w:p>
    <w:p>
      <w:pPr>
        <w:spacing w:line="360" w:lineRule="auto"/>
        <w:ind w:firstLine="420" w:firstLineChars="200"/>
        <w:rPr>
          <w:rFonts w:ascii="宋体" w:hAnsi="宋体" w:eastAsia="宋体"/>
          <w:szCs w:val="21"/>
        </w:rPr>
      </w:pPr>
      <w:r>
        <w:rPr>
          <w:rFonts w:hint="eastAsia" w:ascii="宋体" w:hAnsi="宋体" w:eastAsia="宋体"/>
          <w:szCs w:val="21"/>
        </w:rPr>
        <w:t>（2）行业内合作：与市少儿馆合作共推亲子朗读大赛。我馆携手上海少儿图书馆、魔法童书会，于4月启动大征集活动，以在线上传方式，全区21所学校，14个街镇等单位积极相应，选送了3000多个亲子朗读家庭音频参与海选。通过层层筛选，最终收取全区及云南省香格里拉市民族小学亲子朗读音频共400多份。5月底主办方组织专家进行筛选和精心评审，最终65组选手脱颖而出，进入大赛复赛，最终选出1</w:t>
      </w:r>
      <w:r>
        <w:rPr>
          <w:rFonts w:ascii="宋体" w:hAnsi="宋体" w:eastAsia="宋体"/>
          <w:szCs w:val="21"/>
        </w:rPr>
        <w:t>0</w:t>
      </w:r>
      <w:r>
        <w:rPr>
          <w:rFonts w:hint="eastAsia" w:ascii="宋体" w:hAnsi="宋体" w:eastAsia="宋体"/>
          <w:szCs w:val="21"/>
        </w:rPr>
        <w:t>强选手参加决赛，于7月8日参加2018闵行区亲子朗读大赛决赛展演。6月12日，闵行区图书馆、闵行电视台和上海少年儿童图书馆的部分工作人员从上海出发，到云南香格里拉市民族小学，与当地的师生共同体验亲子阅读的乐趣。8月19日在上海展览中心2018上海书展的现场，由本次闵行区大赛一等奖的6组家庭分主会场、闵行区主宾日活动会场分别进行展演，吸引了众多前来书展的读者观摩欣赏，活动取得了圆满成功。1</w:t>
      </w:r>
      <w:r>
        <w:rPr>
          <w:rFonts w:ascii="宋体" w:hAnsi="宋体" w:eastAsia="宋体"/>
          <w:szCs w:val="21"/>
        </w:rPr>
        <w:t>0</w:t>
      </w:r>
      <w:r>
        <w:rPr>
          <w:rFonts w:hint="eastAsia" w:ascii="宋体" w:hAnsi="宋体" w:eastAsia="宋体"/>
          <w:szCs w:val="21"/>
        </w:rPr>
        <w:t>月在莘庄镇文体中心举办全市亲子朗读获奖作品的展演活动。</w:t>
      </w:r>
    </w:p>
    <w:p>
      <w:pPr>
        <w:spacing w:line="360" w:lineRule="auto"/>
        <w:ind w:firstLine="420" w:firstLineChars="200"/>
        <w:rPr>
          <w:rFonts w:ascii="宋体" w:hAnsi="宋体" w:eastAsia="宋体"/>
          <w:szCs w:val="21"/>
        </w:rPr>
      </w:pPr>
      <w:r>
        <w:rPr>
          <w:rFonts w:hint="eastAsia" w:ascii="宋体" w:hAnsi="宋体" w:eastAsia="宋体"/>
          <w:szCs w:val="21"/>
        </w:rPr>
        <w:t>（3）与企业合作举办两期阅读马拉松。该活动今年分两个环节，一是春季阅马，我馆于4月21日举办阅读推广赛事，共有95位参赛队员参与比赛，其中93位读者通过奖牌线，拿到了奖牌。通过举办该活动，进一步扩大图书馆阅读推广影响力，提升了全民阅读兴趣。二是秋季阅马，本次活动还得到中庚集团的大力支持和参与，有5</w:t>
      </w:r>
      <w:r>
        <w:rPr>
          <w:rFonts w:ascii="宋体" w:hAnsi="宋体" w:eastAsia="宋体"/>
          <w:szCs w:val="21"/>
        </w:rPr>
        <w:t>0</w:t>
      </w:r>
      <w:r>
        <w:rPr>
          <w:rFonts w:hint="eastAsia" w:ascii="宋体" w:hAnsi="宋体" w:eastAsia="宋体"/>
          <w:szCs w:val="21"/>
        </w:rPr>
        <w:t>名读者参赛，活动取得很好的效果。</w:t>
      </w:r>
    </w:p>
    <w:p>
      <w:pPr>
        <w:spacing w:line="360" w:lineRule="auto"/>
        <w:jc w:val="left"/>
        <w:rPr>
          <w:rFonts w:asciiTheme="minorEastAsia" w:hAnsiTheme="minorEastAsia"/>
          <w:b/>
          <w:bCs/>
          <w:szCs w:val="21"/>
        </w:rPr>
      </w:pPr>
      <w:r>
        <w:rPr>
          <w:rFonts w:hint="eastAsia" w:asciiTheme="minorEastAsia" w:hAnsiTheme="minorEastAsia"/>
          <w:bCs/>
          <w:szCs w:val="21"/>
        </w:rPr>
        <w:t xml:space="preserve"> </w:t>
      </w:r>
      <w:r>
        <w:rPr>
          <w:rFonts w:asciiTheme="minorEastAsia" w:hAnsiTheme="minorEastAsia"/>
          <w:bCs/>
          <w:szCs w:val="21"/>
        </w:rPr>
        <w:t xml:space="preserve">  </w:t>
      </w:r>
      <w:r>
        <w:rPr>
          <w:rFonts w:asciiTheme="minorEastAsia" w:hAnsiTheme="minorEastAsia"/>
          <w:b/>
          <w:bCs/>
          <w:szCs w:val="21"/>
        </w:rPr>
        <w:t xml:space="preserve"> </w:t>
      </w:r>
      <w:r>
        <w:rPr>
          <w:rFonts w:hint="eastAsia" w:ascii="微软雅黑" w:hAnsi="微软雅黑" w:eastAsia="微软雅黑"/>
          <w:b/>
          <w:szCs w:val="21"/>
        </w:rPr>
        <w:t>三、业务管理工作科学规范，保证了各项业务工作取得实效</w:t>
      </w:r>
    </w:p>
    <w:p>
      <w:pPr>
        <w:spacing w:line="360" w:lineRule="auto"/>
        <w:jc w:val="left"/>
        <w:rPr>
          <w:rFonts w:ascii="微软雅黑" w:hAnsi="微软雅黑" w:eastAsia="微软雅黑"/>
          <w:b/>
          <w:szCs w:val="21"/>
        </w:rPr>
      </w:pPr>
      <w:r>
        <w:rPr>
          <w:rFonts w:hint="eastAsia" w:asciiTheme="minorEastAsia" w:hAnsiTheme="minorEastAsia"/>
          <w:bCs/>
          <w:szCs w:val="21"/>
        </w:rPr>
        <w:t xml:space="preserve">   </w:t>
      </w:r>
      <w:r>
        <w:rPr>
          <w:rFonts w:asciiTheme="minorEastAsia" w:hAnsiTheme="minorEastAsia"/>
          <w:bCs/>
          <w:szCs w:val="21"/>
        </w:rPr>
        <w:t xml:space="preserve"> </w:t>
      </w:r>
      <w:r>
        <w:rPr>
          <w:rFonts w:ascii="微软雅黑" w:hAnsi="微软雅黑" w:eastAsia="微软雅黑"/>
          <w:b/>
          <w:szCs w:val="21"/>
        </w:rPr>
        <w:t>1</w:t>
      </w:r>
      <w:r>
        <w:rPr>
          <w:rFonts w:hint="eastAsia" w:ascii="微软雅黑" w:hAnsi="微软雅黑" w:eastAsia="微软雅黑"/>
          <w:b/>
          <w:szCs w:val="21"/>
        </w:rPr>
        <w:t>、文明创建工作</w:t>
      </w:r>
    </w:p>
    <w:p>
      <w:pPr>
        <w:spacing w:line="360" w:lineRule="auto"/>
        <w:ind w:firstLine="420" w:firstLineChars="200"/>
        <w:rPr>
          <w:rFonts w:ascii="宋体" w:hAnsi="宋体" w:eastAsia="宋体"/>
          <w:szCs w:val="21"/>
        </w:rPr>
      </w:pPr>
      <w:r>
        <w:rPr>
          <w:rFonts w:hint="eastAsia" w:ascii="宋体" w:hAnsi="宋体" w:eastAsia="宋体"/>
          <w:szCs w:val="21"/>
        </w:rPr>
        <w:t>今年是201</w:t>
      </w:r>
      <w:r>
        <w:rPr>
          <w:rFonts w:ascii="宋体" w:hAnsi="宋体" w:eastAsia="宋体"/>
          <w:szCs w:val="21"/>
        </w:rPr>
        <w:t>7</w:t>
      </w:r>
      <w:r>
        <w:rPr>
          <w:rFonts w:hint="eastAsia" w:ascii="宋体" w:hAnsi="宋体" w:eastAsia="宋体"/>
          <w:szCs w:val="21"/>
        </w:rPr>
        <w:t>-2018年度文明单位创建年，各项创建工作正按计划有条不紊地开展，同时本馆成立了创建材料整理小组，收这一轮创建年份的材料进行收集、整理、归档，为上传申报材料做准备。目前正在做档案整理工作，年底前完成文明单位材料上传申报。</w:t>
      </w:r>
    </w:p>
    <w:p>
      <w:pPr>
        <w:spacing w:line="360" w:lineRule="auto"/>
        <w:ind w:firstLine="420" w:firstLineChars="200"/>
        <w:rPr>
          <w:rFonts w:ascii="宋体" w:hAnsi="宋体" w:eastAsia="宋体"/>
          <w:szCs w:val="21"/>
        </w:rPr>
      </w:pPr>
      <w:r>
        <w:rPr>
          <w:rFonts w:hint="eastAsia" w:ascii="宋体" w:hAnsi="宋体" w:eastAsia="宋体"/>
          <w:szCs w:val="21"/>
        </w:rPr>
        <w:t>今年也启动了新一轮创全工作，积极参与闵行区创建全国文明城区，按上级要求认真落实并做好各项服务工作。</w:t>
      </w:r>
    </w:p>
    <w:p>
      <w:pPr>
        <w:spacing w:line="360" w:lineRule="auto"/>
        <w:ind w:firstLine="420" w:firstLineChars="200"/>
        <w:jc w:val="left"/>
        <w:rPr>
          <w:rFonts w:ascii="微软雅黑" w:hAnsi="微软雅黑" w:eastAsia="微软雅黑"/>
          <w:b/>
          <w:szCs w:val="21"/>
        </w:rPr>
      </w:pPr>
      <w:r>
        <w:rPr>
          <w:rFonts w:hint="eastAsia" w:ascii="微软雅黑" w:hAnsi="微软雅黑" w:eastAsia="微软雅黑"/>
          <w:b/>
          <w:szCs w:val="21"/>
        </w:rPr>
        <w:t>2、专业队伍培养及学术研究</w:t>
      </w:r>
    </w:p>
    <w:p>
      <w:pPr>
        <w:spacing w:line="360" w:lineRule="auto"/>
        <w:ind w:firstLine="420" w:firstLineChars="200"/>
        <w:rPr>
          <w:rFonts w:ascii="宋体" w:hAnsi="宋体" w:eastAsia="宋体"/>
          <w:szCs w:val="21"/>
        </w:rPr>
      </w:pPr>
      <w:r>
        <w:rPr>
          <w:rFonts w:hint="eastAsia" w:ascii="宋体" w:hAnsi="宋体" w:eastAsia="宋体"/>
          <w:szCs w:val="21"/>
        </w:rPr>
        <w:t>图书馆属于专业型知识服务行业，人员队伍建设是重中之重。今年我馆鼓励青年馆员开展学术研究，以项目的形式，以“阅读推广”为研究课题，让青年馆员从工作实践的角度撰写论文，一方面对工作进行一定的梳理和总结，另一方面对下一步的工作开展进行深入思考，提出创新性意见和想法，并将馆员的学术研究成果结集出版。共收集论文</w:t>
      </w:r>
      <w:r>
        <w:rPr>
          <w:rFonts w:ascii="宋体" w:hAnsi="宋体" w:eastAsia="宋体"/>
          <w:szCs w:val="21"/>
        </w:rPr>
        <w:t>26</w:t>
      </w:r>
      <w:r>
        <w:rPr>
          <w:rFonts w:hint="eastAsia" w:ascii="宋体" w:hAnsi="宋体" w:eastAsia="宋体"/>
          <w:szCs w:val="21"/>
        </w:rPr>
        <w:t>篇，并以《萤窗万卷》为名正式出版发行。</w:t>
      </w:r>
    </w:p>
    <w:p>
      <w:pPr>
        <w:spacing w:line="360" w:lineRule="auto"/>
        <w:ind w:firstLine="420" w:firstLineChars="200"/>
        <w:jc w:val="left"/>
        <w:rPr>
          <w:rFonts w:ascii="微软雅黑" w:hAnsi="微软雅黑" w:eastAsia="微软雅黑"/>
          <w:b/>
          <w:szCs w:val="21"/>
        </w:rPr>
      </w:pPr>
      <w:r>
        <w:rPr>
          <w:rFonts w:hint="eastAsia" w:ascii="微软雅黑" w:hAnsi="微软雅黑" w:eastAsia="微软雅黑"/>
          <w:b/>
          <w:szCs w:val="21"/>
        </w:rPr>
        <w:t>3、推进城市书房项目建设</w:t>
      </w:r>
    </w:p>
    <w:p>
      <w:pPr>
        <w:spacing w:line="360" w:lineRule="auto"/>
        <w:ind w:firstLine="420" w:firstLineChars="200"/>
        <w:rPr>
          <w:rFonts w:ascii="宋体" w:hAnsi="宋体" w:eastAsia="宋体"/>
          <w:szCs w:val="21"/>
        </w:rPr>
      </w:pPr>
      <w:r>
        <w:rPr>
          <w:rFonts w:hint="eastAsia" w:ascii="宋体" w:hAnsi="宋体" w:eastAsia="宋体"/>
          <w:szCs w:val="21"/>
        </w:rPr>
        <w:t>在去年实施闵行城市书房项目建设取得成功的基础上，今年我馆积极配合区文广局和江川街道，第</w:t>
      </w:r>
      <w:r>
        <w:rPr>
          <w:rFonts w:ascii="宋体" w:hAnsi="宋体" w:eastAsia="宋体"/>
          <w:szCs w:val="21"/>
        </w:rPr>
        <w:t>5</w:t>
      </w:r>
      <w:r>
        <w:rPr>
          <w:rFonts w:hint="eastAsia" w:ascii="宋体" w:hAnsi="宋体" w:eastAsia="宋体"/>
          <w:szCs w:val="21"/>
        </w:rPr>
        <w:t>家闵行城市书房沧源馆于3月份正式对读者开放。莘庄镇的城市书房也在紧锣密鼓地装修建设当中，有意于城市书房建设的梅陇镇、浦锦街道也在积极筹备当中。</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4、法人治理结构改革</w:t>
      </w:r>
    </w:p>
    <w:p>
      <w:pPr>
        <w:spacing w:line="360" w:lineRule="auto"/>
        <w:ind w:firstLine="420" w:firstLineChars="200"/>
        <w:rPr>
          <w:rFonts w:ascii="宋体" w:hAnsi="宋体" w:eastAsia="宋体"/>
          <w:szCs w:val="21"/>
        </w:rPr>
      </w:pPr>
      <w:r>
        <w:rPr>
          <w:rFonts w:hint="eastAsia" w:ascii="宋体" w:hAnsi="宋体" w:eastAsia="宋体"/>
          <w:szCs w:val="21"/>
        </w:rPr>
        <w:t>施行理事会制对于我馆来说是一个全新的挑战。1月份在区文广局万萍副局长带领下，我们对深圳、广州两地公共图书馆法人治理结构改革试点工作进行了考察学习，在借鉴他们成功经验的基础上，在区编办的指导下，对本馆试点方案进行了完善，并且起草了《闵行区图书馆理事会章程》，及相关配套制度。同时对理事会理事人选进行了甄选，拟定了理事名单。</w:t>
      </w:r>
      <w:r>
        <w:rPr>
          <w:rFonts w:ascii="宋体" w:hAnsi="宋体" w:eastAsia="宋体"/>
          <w:szCs w:val="21"/>
        </w:rPr>
        <w:t>7</w:t>
      </w:r>
      <w:r>
        <w:rPr>
          <w:rFonts w:hint="eastAsia" w:ascii="宋体" w:hAnsi="宋体" w:eastAsia="宋体"/>
          <w:szCs w:val="21"/>
        </w:rPr>
        <w:t>月2</w:t>
      </w:r>
      <w:r>
        <w:rPr>
          <w:rFonts w:ascii="宋体" w:hAnsi="宋体" w:eastAsia="宋体"/>
          <w:szCs w:val="21"/>
        </w:rPr>
        <w:t>5</w:t>
      </w:r>
      <w:r>
        <w:rPr>
          <w:rFonts w:hint="eastAsia" w:ascii="宋体" w:hAnsi="宋体" w:eastAsia="宋体"/>
          <w:szCs w:val="21"/>
        </w:rPr>
        <w:t>日顺利召开闵行区图书馆第一届理事会第一次会议。第一届理事会成员9名，万萍副局长担任理事长，张劲芳馆长任副理事长。区编办金彪副主任出席了成立大会并作了讲话。</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四、街镇业务辅导与协调，促进了闵行公共图书馆事业健康发展</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1、街镇业务骨干培训</w:t>
      </w:r>
    </w:p>
    <w:p>
      <w:pPr>
        <w:spacing w:line="360" w:lineRule="auto"/>
        <w:ind w:firstLine="420" w:firstLineChars="200"/>
        <w:rPr>
          <w:rFonts w:ascii="宋体" w:hAnsi="宋体" w:eastAsia="宋体"/>
          <w:szCs w:val="21"/>
        </w:rPr>
      </w:pPr>
      <w:r>
        <w:rPr>
          <w:rFonts w:hint="eastAsia" w:ascii="宋体" w:hAnsi="宋体" w:eastAsia="宋体"/>
          <w:szCs w:val="21"/>
        </w:rPr>
        <w:t>为了进一步推动闵行图书馆事业整体向前发展，本馆非常重视街镇分馆及社区（村居）文化服务点工作人员的培养。一是加强街镇图书馆业务指导，定期开展业务培训、交流和馆长例会，不断帮助基层街镇图书馆提高业务能力与水平，提升基层馆以及我区图书馆行业为读者服务的能级和整体实力。年内除了定期召开馆长例会外，还举办了一次全区图书从业人员业务培训，并组织街镇馆员参加上海市文化从业人员万人大培训-</w:t>
      </w:r>
      <w:r>
        <w:rPr>
          <w:rFonts w:ascii="宋体" w:hAnsi="宋体" w:eastAsia="宋体"/>
          <w:szCs w:val="21"/>
        </w:rPr>
        <w:t>-</w:t>
      </w:r>
      <w:r>
        <w:rPr>
          <w:rFonts w:hint="eastAsia" w:ascii="宋体" w:hAnsi="宋体" w:eastAsia="宋体"/>
          <w:szCs w:val="21"/>
        </w:rPr>
        <w:t>《上海市公共文化建设图书类创新项目案例解析》讲座。</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2、区域总分馆建设</w:t>
      </w:r>
    </w:p>
    <w:p>
      <w:pPr>
        <w:spacing w:line="360" w:lineRule="auto"/>
        <w:ind w:firstLine="420" w:firstLineChars="200"/>
        <w:rPr>
          <w:rFonts w:ascii="宋体" w:hAnsi="宋体" w:eastAsia="宋体"/>
          <w:szCs w:val="21"/>
        </w:rPr>
      </w:pPr>
      <w:r>
        <w:rPr>
          <w:rFonts w:hint="eastAsia" w:ascii="宋体" w:hAnsi="宋体" w:eastAsia="宋体"/>
          <w:szCs w:val="21"/>
        </w:rPr>
        <w:t>根据市文广局《关于推进上海市区级图书馆总分馆制建设的实施意见》要求和总体部署，目前我馆已经按计划完成了上海市中心馆</w:t>
      </w:r>
      <w:r>
        <w:rPr>
          <w:rFonts w:ascii="宋体" w:hAnsi="宋体" w:eastAsia="宋体"/>
          <w:szCs w:val="21"/>
        </w:rPr>
        <w:t>—</w:t>
      </w:r>
      <w:r>
        <w:rPr>
          <w:rFonts w:hint="eastAsia" w:ascii="宋体" w:hAnsi="宋体" w:eastAsia="宋体"/>
          <w:szCs w:val="21"/>
        </w:rPr>
        <w:t>区馆</w:t>
      </w:r>
      <w:r>
        <w:rPr>
          <w:rFonts w:ascii="宋体" w:hAnsi="宋体" w:eastAsia="宋体"/>
          <w:szCs w:val="21"/>
        </w:rPr>
        <w:t>—</w:t>
      </w:r>
      <w:r>
        <w:rPr>
          <w:rFonts w:hint="eastAsia" w:ascii="宋体" w:hAnsi="宋体" w:eastAsia="宋体"/>
          <w:szCs w:val="21"/>
        </w:rPr>
        <w:t>街镇分馆之间以及区馆</w:t>
      </w:r>
      <w:r>
        <w:rPr>
          <w:rFonts w:ascii="宋体" w:hAnsi="宋体" w:eastAsia="宋体"/>
          <w:szCs w:val="21"/>
        </w:rPr>
        <w:t>—</w:t>
      </w:r>
      <w:r>
        <w:rPr>
          <w:rFonts w:hint="eastAsia" w:ascii="宋体" w:hAnsi="宋体" w:eastAsia="宋体"/>
          <w:szCs w:val="21"/>
        </w:rPr>
        <w:t>街镇分馆</w:t>
      </w:r>
      <w:r>
        <w:rPr>
          <w:rFonts w:ascii="宋体" w:hAnsi="宋体" w:eastAsia="宋体"/>
          <w:szCs w:val="21"/>
        </w:rPr>
        <w:t>—</w:t>
      </w:r>
      <w:r>
        <w:rPr>
          <w:rFonts w:hint="eastAsia" w:ascii="宋体" w:hAnsi="宋体" w:eastAsia="宋体"/>
          <w:szCs w:val="21"/>
        </w:rPr>
        <w:t>社区（村居）服务点之间的的总分馆协议签订，年底前完成所有分馆及部分条件成熟服务点的挂牌与图书配置工作。但是，整个闵行区共有5</w:t>
      </w:r>
      <w:r>
        <w:rPr>
          <w:rFonts w:ascii="宋体" w:hAnsi="宋体" w:eastAsia="宋体"/>
          <w:szCs w:val="21"/>
        </w:rPr>
        <w:t>00</w:t>
      </w:r>
      <w:r>
        <w:rPr>
          <w:rFonts w:hint="eastAsia" w:ascii="宋体" w:hAnsi="宋体" w:eastAsia="宋体"/>
          <w:szCs w:val="21"/>
        </w:rPr>
        <w:t>多家社区和村居，要全面覆盖，还需明年进一步扎实推进该项工作。一是要对各社区、村居提供的服务点的情况进一步察看、核实，有固定场所、有固定服务人员的优先建立服务点，争取早日为广大市民提供服务；二是对条件不够成熟的，要积极与所属街镇文体中心及社区（村居）居委协调，督促对方以保障此项目的顺利执行；三是对社区（村居）服务点工作人员进行培训，统一服务标准与规范。</w:t>
      </w:r>
    </w:p>
    <w:p>
      <w:pPr>
        <w:spacing w:line="360" w:lineRule="auto"/>
        <w:ind w:firstLine="420"/>
        <w:rPr>
          <w:rFonts w:asciiTheme="minorEastAsia" w:hAnsiTheme="minorEastAsia"/>
          <w:szCs w:val="21"/>
        </w:rPr>
      </w:pPr>
    </w:p>
    <w:p>
      <w:pPr>
        <w:spacing w:line="360" w:lineRule="auto"/>
        <w:ind w:firstLine="420"/>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三、大事记</w:t>
      </w:r>
    </w:p>
    <w:p>
      <w:pPr>
        <w:spacing w:line="450" w:lineRule="exact"/>
        <w:rPr>
          <w:rFonts w:ascii="宋体" w:hAnsi="宋体" w:eastAsia="宋体"/>
          <w:szCs w:val="21"/>
        </w:rPr>
      </w:pPr>
      <w:r>
        <w:rPr>
          <w:rFonts w:hint="eastAsia" w:ascii="宋体" w:hAnsi="宋体" w:eastAsia="宋体"/>
          <w:szCs w:val="21"/>
        </w:rPr>
        <w:t>2018年2月28日，闵行区“敏读亭”启动仪式正式在闵行区图书馆一楼大厅拉开帷幕。这是一座有音乐，有灯光，有故事，有梦想的朗读亭，在这座亭子里，我们都能遇到更好的自己。</w:t>
      </w:r>
    </w:p>
    <w:p>
      <w:pPr>
        <w:spacing w:line="450" w:lineRule="exact"/>
        <w:rPr>
          <w:rFonts w:ascii="宋体" w:hAnsi="宋体" w:eastAsia="宋体"/>
          <w:szCs w:val="21"/>
        </w:rPr>
      </w:pPr>
      <w:r>
        <w:rPr>
          <w:rFonts w:hint="eastAsia" w:ascii="宋体" w:hAnsi="宋体" w:eastAsia="宋体"/>
          <w:szCs w:val="21"/>
        </w:rPr>
        <w:t>2018年3月15日，我馆绿叶助学志愿队荣获2016—2017年度上海市志愿服务先进集体称号，志愿队负责人王晓燕获得上海市志愿服务优秀组织者称号。</w:t>
      </w:r>
    </w:p>
    <w:p>
      <w:pPr>
        <w:spacing w:line="450" w:lineRule="exact"/>
        <w:rPr>
          <w:rFonts w:ascii="宋体" w:hAnsi="宋体" w:eastAsia="宋体"/>
          <w:szCs w:val="21"/>
        </w:rPr>
      </w:pPr>
      <w:r>
        <w:rPr>
          <w:rFonts w:hint="eastAsia" w:ascii="宋体" w:hAnsi="宋体" w:eastAsia="宋体"/>
          <w:szCs w:val="21"/>
        </w:rPr>
        <w:t>2018年4月，我馆以全区大调研为契机，与闵行区政协、闵行区机关党工委、闵行区检察院、黎安二村居委开展共建合作，并签署相关协议。这标志着图书馆今后将与各单位在党团工作交流、志愿服务协作、资源信息共享等方面紧密结合，并依托双向互动、优势互补的机制，积极打造条块合作的成功样本。</w:t>
      </w:r>
    </w:p>
    <w:p>
      <w:pPr>
        <w:spacing w:line="450" w:lineRule="exact"/>
        <w:rPr>
          <w:rFonts w:ascii="宋体" w:hAnsi="宋体" w:eastAsia="宋体"/>
          <w:szCs w:val="21"/>
        </w:rPr>
      </w:pPr>
      <w:r>
        <w:rPr>
          <w:rFonts w:hint="eastAsia" w:ascii="宋体" w:hAnsi="宋体" w:eastAsia="宋体"/>
          <w:szCs w:val="21"/>
        </w:rPr>
        <w:t>2018年5月，区馆领导带领工作人员走访街镇馆进行实地调研，主要调研方向有街镇馆业务发展方面目前所面临的困难；一卡通、总分馆建设方面的意见或建议；城市书房建设方面的需求或建议；人员培训、业务交流方面的意见或建议；对区馆业务辅导工作的意见或建议等。</w:t>
      </w:r>
    </w:p>
    <w:p>
      <w:pPr>
        <w:spacing w:line="450" w:lineRule="exact"/>
        <w:rPr>
          <w:rFonts w:ascii="宋体" w:hAnsi="宋体" w:eastAsia="宋体"/>
          <w:szCs w:val="21"/>
        </w:rPr>
      </w:pPr>
      <w:r>
        <w:rPr>
          <w:rFonts w:hint="eastAsia" w:ascii="宋体" w:hAnsi="宋体" w:eastAsia="宋体"/>
          <w:szCs w:val="21"/>
        </w:rPr>
        <w:t>2018年6月12日，第五届图书馆微服务研讨会在上海市闵行区图书馆召开，本次会议面向全国图书馆界的新媒体微服务馆员，主题聚焦“微服务新智能”，来自全国84家图书馆的170多位同仁来到会议现场，围绕微服务平台的深入打造、微服务内容的创新实践展开了热烈讨论，共同为图书馆行业微服务的未来出谋划策。</w:t>
      </w:r>
    </w:p>
    <w:p>
      <w:pPr>
        <w:spacing w:line="450" w:lineRule="exact"/>
        <w:rPr>
          <w:rFonts w:ascii="宋体" w:hAnsi="宋体" w:eastAsia="宋体"/>
          <w:szCs w:val="21"/>
        </w:rPr>
      </w:pPr>
      <w:r>
        <w:rPr>
          <w:rFonts w:hint="eastAsia" w:ascii="宋体" w:hAnsi="宋体" w:eastAsia="宋体"/>
          <w:szCs w:val="21"/>
        </w:rPr>
        <w:t>2018年7月25日，闵行区图书馆理事会成立大会暨第一届理事会第一次会议顺利召开，会议通过了《闵行区图书馆理事会章程》，选举产生了第一届理事会理事长、副理事长、秘书长等职务。作为闵行区第一家成立理事会的公共事业单位，闵行区图书馆法人治理结构改革工作自去年下半年启动以来，通过闵行区图书馆官方微信公众号等线上线下的方式，面向社会公开招募理事成员，设立决策咨询机构，落实法人自主权，为建立功能明确、治理完善、运行高效、监管有力的事业单位管理体制和运行机制奠定了基础，闵行区图书馆理事会的成立，拉开了闵行区公共事业单位积极推进公共文化机构法人治理结构改革的序幕。</w:t>
      </w:r>
    </w:p>
    <w:p>
      <w:pPr>
        <w:spacing w:line="450" w:lineRule="exact"/>
        <w:rPr>
          <w:rFonts w:ascii="宋体" w:hAnsi="宋体" w:eastAsia="宋体"/>
          <w:szCs w:val="21"/>
        </w:rPr>
      </w:pPr>
      <w:r>
        <w:rPr>
          <w:rFonts w:hint="eastAsia" w:ascii="宋体" w:hAnsi="宋体" w:eastAsia="宋体"/>
          <w:szCs w:val="21"/>
        </w:rPr>
        <w:t>2018年8月19日，辅导部组织了今年闵行区亲子朗读大赛一等奖的6组家庭统一前往上海展览中心2018上海书展的现场，分别参与了中央舞台与闵行区主宾日活动的展演，吸引了众多前来书展的读者观摩欣赏。</w:t>
      </w:r>
    </w:p>
    <w:p>
      <w:pPr>
        <w:spacing w:line="450" w:lineRule="exact"/>
        <w:rPr>
          <w:rFonts w:ascii="宋体" w:hAnsi="宋体" w:eastAsia="宋体"/>
          <w:szCs w:val="21"/>
        </w:rPr>
      </w:pPr>
      <w:r>
        <w:rPr>
          <w:rFonts w:hint="eastAsia" w:ascii="宋体" w:hAnsi="宋体" w:eastAsia="宋体"/>
          <w:szCs w:val="21"/>
        </w:rPr>
        <w:t>2018年8月21日，“2018书香·上海之夏名家新作系列讲座——向世界讲好中国故事”市民读书活动在闵行区图书馆8楼大报告厅举行。这是今年上海书展闵行分会场之一，赵启正先生以他在几十年的对外宣传工作中所积累的丰富的实践向我们传授他的独到见解。赵启正先生还有个特别的名字叫做“PuDongZhao”，这也深深吸引着我们的读者。</w:t>
      </w:r>
    </w:p>
    <w:p>
      <w:pPr>
        <w:spacing w:line="450" w:lineRule="exact"/>
        <w:rPr>
          <w:rFonts w:ascii="宋体" w:hAnsi="宋体" w:eastAsia="宋体"/>
          <w:szCs w:val="21"/>
        </w:rPr>
      </w:pPr>
      <w:r>
        <w:rPr>
          <w:rFonts w:hint="eastAsia" w:ascii="宋体" w:hAnsi="宋体" w:eastAsia="宋体"/>
          <w:szCs w:val="21"/>
        </w:rPr>
        <w:t>2018年8月30日，闵行区图书馆首本论著《萤窗万卷—闵行区图书馆阅读推广探索与实践》正式启动撰写。此次论著撰写工作是为配合闵行区图书馆推动人才队伍建设，提高馆员的综合业务能力而开展的。论著将于今年问世，欢迎各位读者批评指正。</w:t>
      </w:r>
    </w:p>
    <w:p>
      <w:pPr>
        <w:spacing w:line="450" w:lineRule="exact"/>
        <w:rPr>
          <w:rFonts w:ascii="宋体" w:hAnsi="宋体" w:eastAsia="宋体"/>
          <w:szCs w:val="21"/>
        </w:rPr>
      </w:pPr>
      <w:r>
        <w:rPr>
          <w:rFonts w:hint="eastAsia" w:ascii="宋体" w:hAnsi="宋体" w:eastAsia="宋体"/>
          <w:szCs w:val="21"/>
        </w:rPr>
        <w:t>2018年9月27日，闵图“敏读会”首个街镇分会在梅陇镇成立。这是敏读会在街镇的第一个分会，更是敏读会打造的首个以“精致读书，读人识书”为理念的楼宇商圈阵地。今后我们将以“真人图书馆”的形式为梅陇分会带去新的阅读体验。</w:t>
      </w:r>
    </w:p>
    <w:p>
      <w:pPr>
        <w:spacing w:line="450" w:lineRule="exact"/>
        <w:rPr>
          <w:rFonts w:ascii="宋体" w:hAnsi="宋体" w:eastAsia="宋体"/>
          <w:szCs w:val="21"/>
        </w:rPr>
      </w:pPr>
      <w:r>
        <w:rPr>
          <w:rFonts w:hint="eastAsia" w:ascii="宋体" w:hAnsi="宋体" w:eastAsia="宋体"/>
          <w:szCs w:val="21"/>
        </w:rPr>
        <w:t>2018年10月16日，上海图书馆读者服务中心徐强主任带领新加坡图书馆黄部长来我馆交流学习。张劲芳馆长和闵腾超副馆长共同参与。张劲芳馆长介绍了闵图的特色活动宣传册，其中有敏读会、敏读书声、妈妈小屋、英语角、电子数字资源等多元化的文化素养培养，并表示希望通过双方长时间的交流学习，能让更多的读者享受到图书馆带来的乐趣。</w:t>
      </w:r>
    </w:p>
    <w:p>
      <w:pPr>
        <w:spacing w:line="450" w:lineRule="exact"/>
        <w:rPr>
          <w:rFonts w:ascii="宋体" w:hAnsi="宋体" w:eastAsia="宋体"/>
          <w:szCs w:val="21"/>
        </w:rPr>
      </w:pPr>
      <w:r>
        <w:rPr>
          <w:rFonts w:hint="eastAsia" w:ascii="宋体" w:hAnsi="宋体" w:eastAsia="宋体"/>
          <w:szCs w:val="21"/>
        </w:rPr>
        <w:t>2018年10月18日，我馆援助浦江郊野公园建立图书室。经过双方友好协商，初步达到合作意向。一是由区图书馆提供部分过刊，先期支援公园书屋初建；二是区图书馆在郊野公园设立图书集体外借服务点；三是将区图书馆的一些品牌读者活动，尤其是市级的阅读推广活动引入郊野公园，联合策划、执行；四是由区图书馆协调浦锦街道，在郊野公园设立“河狸书屋”服务点。</w:t>
      </w:r>
    </w:p>
    <w:p>
      <w:pPr>
        <w:spacing w:line="450" w:lineRule="exact"/>
        <w:rPr>
          <w:rFonts w:ascii="宋体" w:hAnsi="宋体" w:eastAsia="宋体"/>
          <w:szCs w:val="21"/>
        </w:rPr>
      </w:pPr>
      <w:r>
        <w:rPr>
          <w:rFonts w:hint="eastAsia" w:ascii="宋体" w:hAnsi="宋体" w:eastAsia="宋体"/>
          <w:szCs w:val="21"/>
        </w:rPr>
        <w:t>2018年11月6日，年初开始部署的总分馆建设在经过了实地走访、问卷调查、政策学习、协议签订后，已步入尾声。通过“村居图书室调研问卷”信息，我们筛选出部分条件成熟的村居馆。随后经过现场勘察，反馈，最终确定了首批挂牌村居图书室27家，挂牌街镇馆14家。目前铜牌正在制作中。</w:t>
      </w:r>
    </w:p>
    <w:p>
      <w:pPr>
        <w:spacing w:line="450" w:lineRule="exact"/>
        <w:rPr>
          <w:rFonts w:ascii="宋体" w:hAnsi="宋体" w:eastAsia="宋体"/>
          <w:szCs w:val="21"/>
        </w:rPr>
      </w:pPr>
      <w:r>
        <w:rPr>
          <w:rFonts w:hint="eastAsia" w:ascii="宋体" w:hAnsi="宋体" w:eastAsia="宋体"/>
          <w:szCs w:val="21"/>
        </w:rPr>
        <w:t>2018年11月16日，日本长崎县大村市市长代表团一行19人，裹着厚厚的大衣，冒着小雨走访参观了闵行区图书馆城市书房，并且深情款款地向读者表示来自不同于中国最真挚的、最亲切的、最温暖的问候。</w:t>
      </w:r>
    </w:p>
    <w:p>
      <w:pPr>
        <w:spacing w:line="450" w:lineRule="exact"/>
        <w:rPr>
          <w:rFonts w:ascii="宋体" w:hAnsi="宋体" w:eastAsia="宋体"/>
          <w:szCs w:val="21"/>
        </w:rPr>
      </w:pPr>
      <w:r>
        <w:rPr>
          <w:rFonts w:hint="eastAsia" w:ascii="宋体" w:hAnsi="宋体" w:eastAsia="宋体"/>
          <w:szCs w:val="21"/>
        </w:rPr>
        <w:t>2018年11月19日，我馆荣获第四届上海市未成年人思想道德建设工作先进单位。在今后的工作中，闵行区图书馆将继续坚持以习近平新时代中国特色社会主义思想为指导，聚焦时代脉搏，培育品牌项目，精心设计活动，强化队伍建设，发动社会参与，引导孩子们扣好人生第一粒扣子，用全社会共同的力量和共同的关爱，托举起未成年人美好的明天。</w:t>
      </w:r>
    </w:p>
    <w:p>
      <w:pPr>
        <w:spacing w:line="450" w:lineRule="exact"/>
        <w:rPr>
          <w:rFonts w:ascii="宋体" w:hAnsi="宋体" w:eastAsia="宋体"/>
          <w:szCs w:val="21"/>
        </w:rPr>
      </w:pPr>
      <w:r>
        <w:rPr>
          <w:rFonts w:hint="eastAsia" w:ascii="宋体" w:hAnsi="宋体" w:eastAsia="宋体"/>
          <w:szCs w:val="21"/>
        </w:rPr>
        <w:t>2018年12月26日，我馆获得2018年度上海市中心图书馆工作先进集体奖、2018年度上海市中心图书馆少儿服务先进集体将第二名、上海市图书馆学会2018年度优秀学术活动组织奖</w:t>
      </w: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四、二〇一八年度社会责任报告</w:t>
      </w:r>
    </w:p>
    <w:p>
      <w:pPr>
        <w:spacing w:line="360" w:lineRule="auto"/>
        <w:ind w:firstLine="387" w:firstLineChars="184"/>
        <w:rPr>
          <w:rFonts w:ascii="微软雅黑" w:hAnsi="微软雅黑" w:eastAsia="微软雅黑"/>
          <w:b/>
          <w:szCs w:val="21"/>
        </w:rPr>
      </w:pPr>
      <w:r>
        <w:rPr>
          <w:rFonts w:hint="eastAsia" w:ascii="微软雅黑" w:hAnsi="微软雅黑" w:eastAsia="微软雅黑"/>
          <w:b/>
          <w:szCs w:val="21"/>
        </w:rPr>
        <w:t>一、公开陈述</w:t>
      </w:r>
    </w:p>
    <w:p>
      <w:pPr>
        <w:spacing w:line="360" w:lineRule="auto"/>
        <w:ind w:firstLine="420" w:firstLineChars="200"/>
        <w:rPr>
          <w:rFonts w:ascii="宋体" w:hAnsi="宋体" w:eastAsia="宋体"/>
          <w:szCs w:val="21"/>
        </w:rPr>
      </w:pPr>
      <w:bookmarkStart w:id="0" w:name="OLE_LINK1"/>
      <w:r>
        <w:rPr>
          <w:rFonts w:hint="eastAsia" w:ascii="宋体" w:hAnsi="宋体" w:eastAsia="宋体"/>
          <w:szCs w:val="21"/>
        </w:rPr>
        <w:t>上海市闵行区图书馆是政府全额拨款的公益性文化事业单位，</w:t>
      </w:r>
      <w:bookmarkEnd w:id="0"/>
      <w:r>
        <w:rPr>
          <w:rFonts w:hint="eastAsia" w:ascii="宋体" w:hAnsi="宋体" w:eastAsia="宋体"/>
          <w:szCs w:val="21"/>
        </w:rPr>
        <w:t>2018年将紧紧围绕“用心服务、提升内涵”这一主线，以读者至上为核心，以满意服务为目标，以读者活动为抓手，以日常管理为保障，强化基础业务建设，有条不紊推进各项工作，充分发挥图书馆对社会所承担的保存人类文化遗产、为社会公众提供文献信息资源服务、对社会公众进行终身教育等社会职能，同时加强员工自身建设，勇于承担社会责任，在保障图书馆服务普遍均等、缩小社会信息鸿沟、促进社会信息公平、提高公民素质、促进人的全面发展和社会可持续发展方面做出了突出贡献。</w:t>
      </w:r>
    </w:p>
    <w:p>
      <w:pPr>
        <w:spacing w:line="360" w:lineRule="auto"/>
        <w:ind w:firstLine="420" w:firstLineChars="200"/>
        <w:rPr>
          <w:rFonts w:ascii="宋体" w:hAnsi="宋体" w:eastAsia="宋体"/>
          <w:szCs w:val="21"/>
        </w:rPr>
      </w:pPr>
      <w:r>
        <w:rPr>
          <w:rFonts w:hint="eastAsia" w:ascii="宋体" w:hAnsi="宋体" w:eastAsia="宋体"/>
          <w:szCs w:val="21"/>
        </w:rPr>
        <w:t>本报告忠实反映了上海市闵行区图书馆在2018年度创建期内的各项工作成绩。</w:t>
      </w:r>
    </w:p>
    <w:p>
      <w:pPr>
        <w:spacing w:line="360" w:lineRule="auto"/>
        <w:ind w:firstLine="452" w:firstLineChars="200"/>
        <w:rPr>
          <w:rFonts w:asciiTheme="minorEastAsia" w:hAnsiTheme="minorEastAsia"/>
          <w:spacing w:val="8"/>
          <w:szCs w:val="21"/>
        </w:rPr>
      </w:pPr>
    </w:p>
    <w:p>
      <w:pPr>
        <w:spacing w:line="360" w:lineRule="auto"/>
        <w:ind w:firstLine="452" w:firstLineChars="200"/>
        <w:jc w:val="right"/>
        <w:rPr>
          <w:rFonts w:asciiTheme="minorEastAsia" w:hAnsiTheme="minorEastAsia"/>
          <w:spacing w:val="8"/>
          <w:szCs w:val="21"/>
        </w:rPr>
      </w:pPr>
      <w:r>
        <w:rPr>
          <w:rFonts w:hint="eastAsia" w:asciiTheme="minorEastAsia" w:hAnsiTheme="minorEastAsia"/>
          <w:spacing w:val="8"/>
          <w:szCs w:val="21"/>
        </w:rPr>
        <w:t xml:space="preserve">                                 上海市闵行区图书馆馆长</w:t>
      </w:r>
    </w:p>
    <w:p>
      <w:pPr>
        <w:spacing w:line="360" w:lineRule="auto"/>
        <w:ind w:right="512" w:firstLine="452" w:firstLineChars="200"/>
        <w:jc w:val="center"/>
        <w:rPr>
          <w:rFonts w:asciiTheme="minorEastAsia" w:hAnsiTheme="minorEastAsia"/>
          <w:spacing w:val="8"/>
          <w:szCs w:val="21"/>
        </w:rPr>
      </w:pPr>
      <w:r>
        <w:rPr>
          <w:rFonts w:hint="eastAsia" w:asciiTheme="minorEastAsia" w:hAnsiTheme="minorEastAsia"/>
          <w:spacing w:val="8"/>
          <w:szCs w:val="21"/>
        </w:rPr>
        <w:t xml:space="preserve">                                               </w:t>
      </w:r>
      <w:r>
        <w:rPr>
          <w:rFonts w:asciiTheme="minorEastAsia" w:hAnsiTheme="minorEastAsia"/>
          <w:spacing w:val="8"/>
          <w:szCs w:val="21"/>
        </w:rPr>
        <w:drawing>
          <wp:inline distT="0" distB="0" distL="0" distR="0">
            <wp:extent cx="942340" cy="4667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942974" cy="466725"/>
                    </a:xfrm>
                    <a:prstGeom prst="rect">
                      <a:avLst/>
                    </a:prstGeom>
                    <a:noFill/>
                    <a:ln>
                      <a:noFill/>
                    </a:ln>
                  </pic:spPr>
                </pic:pic>
              </a:graphicData>
            </a:graphic>
          </wp:inline>
        </w:drawing>
      </w:r>
    </w:p>
    <w:p>
      <w:pPr>
        <w:pStyle w:val="14"/>
        <w:numPr>
          <w:ilvl w:val="0"/>
          <w:numId w:val="2"/>
        </w:numPr>
        <w:spacing w:line="360" w:lineRule="auto"/>
        <w:ind w:firstLineChars="0"/>
        <w:rPr>
          <w:rFonts w:ascii="微软雅黑" w:hAnsi="微软雅黑" w:eastAsia="微软雅黑"/>
          <w:b/>
          <w:szCs w:val="21"/>
        </w:rPr>
      </w:pPr>
      <w:r>
        <w:rPr>
          <w:rFonts w:hint="eastAsia" w:ascii="微软雅黑" w:hAnsi="微软雅黑" w:eastAsia="微软雅黑"/>
          <w:b/>
          <w:szCs w:val="21"/>
        </w:rPr>
        <w:t>基本情况</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1、规模与性质</w:t>
      </w:r>
    </w:p>
    <w:p>
      <w:pPr>
        <w:spacing w:line="360" w:lineRule="auto"/>
        <w:ind w:firstLine="420" w:firstLineChars="200"/>
        <w:rPr>
          <w:rFonts w:ascii="宋体" w:hAnsi="宋体" w:eastAsia="宋体"/>
          <w:szCs w:val="21"/>
        </w:rPr>
      </w:pPr>
      <w:r>
        <w:rPr>
          <w:rFonts w:hint="eastAsia" w:ascii="宋体" w:hAnsi="宋体" w:eastAsia="宋体"/>
          <w:szCs w:val="21"/>
        </w:rPr>
        <w:t>上海市闵行区图书馆的前身是上海县图书馆，始建于1958年，1992年撤县建区后更名为闵行区第一图书馆，2000年更名为上海市闵行区图书馆，2003年加盟上海中心图书馆成为闵行分馆。2010年新馆搬迁于名都路85号春申文化广场内，占地2695平方米，建筑面积15500平方米，2010年1月18日起向社会开放。</w:t>
      </w:r>
    </w:p>
    <w:p>
      <w:pPr>
        <w:spacing w:line="360" w:lineRule="auto"/>
        <w:ind w:firstLine="420" w:firstLineChars="200"/>
        <w:rPr>
          <w:rFonts w:ascii="宋体" w:hAnsi="宋体" w:eastAsia="宋体"/>
          <w:szCs w:val="21"/>
        </w:rPr>
      </w:pPr>
      <w:r>
        <w:rPr>
          <w:rFonts w:hint="eastAsia" w:ascii="宋体" w:hAnsi="宋体" w:eastAsia="宋体"/>
          <w:szCs w:val="21"/>
        </w:rPr>
        <w:t>上海市闵行区图书馆是属于社会公益服务一类的事业单位，本馆秉持“开放、免费、普遍均等”的服务理念，始终坚持“以人为本”和“读者第一，服务至上”的服务宗旨，努力贯彻实践上海市公共图书馆行业“</w:t>
      </w:r>
      <w:r>
        <w:rPr>
          <w:rFonts w:ascii="宋体" w:hAnsi="宋体" w:eastAsia="宋体"/>
          <w:szCs w:val="21"/>
        </w:rPr>
        <w:t>一视同仁，耐心细致，及时快捷，想方设法</w:t>
      </w:r>
      <w:r>
        <w:rPr>
          <w:rFonts w:hint="eastAsia" w:ascii="宋体" w:hAnsi="宋体" w:eastAsia="宋体"/>
          <w:szCs w:val="21"/>
        </w:rPr>
        <w:t>”的服务承诺，不仅提供图书外借、阅览、信息咨询、讲座、社会教育培训等传统图书馆服务，还积极推进数字图书馆建设，利用闵行区图书馆网站提供书目查询、续借、知识导航、信息咨询、数字资源检索与利用、远程访问、无线上网等服务。</w:t>
      </w:r>
    </w:p>
    <w:p>
      <w:pPr>
        <w:spacing w:line="360" w:lineRule="auto"/>
        <w:ind w:firstLine="420" w:firstLineChars="200"/>
        <w:jc w:val="left"/>
        <w:rPr>
          <w:rFonts w:ascii="微软雅黑" w:hAnsi="微软雅黑" w:eastAsia="微软雅黑"/>
          <w:b/>
          <w:szCs w:val="21"/>
        </w:rPr>
      </w:pPr>
      <w:r>
        <w:rPr>
          <w:rFonts w:hint="eastAsia" w:ascii="微软雅黑" w:hAnsi="微软雅黑" w:eastAsia="微软雅黑"/>
          <w:b/>
          <w:szCs w:val="21"/>
        </w:rPr>
        <w:t>2、所属类别</w:t>
      </w:r>
    </w:p>
    <w:p>
      <w:pPr>
        <w:spacing w:line="360" w:lineRule="auto"/>
        <w:ind w:firstLine="420" w:firstLineChars="200"/>
        <w:rPr>
          <w:rFonts w:ascii="宋体" w:hAnsi="宋体" w:eastAsia="宋体"/>
          <w:szCs w:val="21"/>
        </w:rPr>
      </w:pPr>
      <w:r>
        <w:rPr>
          <w:rFonts w:hint="eastAsia" w:ascii="宋体" w:hAnsi="宋体" w:eastAsia="宋体"/>
          <w:szCs w:val="21"/>
        </w:rPr>
        <w:t>事业类。</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三、报告内容</w:t>
      </w:r>
    </w:p>
    <w:p>
      <w:pPr>
        <w:spacing w:line="360" w:lineRule="auto"/>
        <w:ind w:firstLine="519" w:firstLineChars="247"/>
        <w:rPr>
          <w:rFonts w:ascii="微软雅黑" w:hAnsi="微软雅黑" w:eastAsia="微软雅黑"/>
          <w:b/>
          <w:szCs w:val="21"/>
        </w:rPr>
      </w:pPr>
      <w:r>
        <w:rPr>
          <w:rFonts w:hint="eastAsia" w:ascii="微软雅黑" w:hAnsi="微软雅黑" w:eastAsia="微软雅黑"/>
          <w:b/>
          <w:szCs w:val="21"/>
        </w:rPr>
        <w:t>（一）加强员工学习教育，保障职工合法权益</w:t>
      </w:r>
    </w:p>
    <w:p>
      <w:pPr>
        <w:spacing w:line="360" w:lineRule="auto"/>
        <w:ind w:left="147" w:leftChars="70" w:firstLine="420" w:firstLineChars="200"/>
        <w:rPr>
          <w:rFonts w:ascii="微软雅黑" w:hAnsi="微软雅黑" w:eastAsia="微软雅黑"/>
          <w:b/>
          <w:szCs w:val="21"/>
        </w:rPr>
      </w:pPr>
      <w:r>
        <w:rPr>
          <w:rFonts w:hint="eastAsia" w:ascii="微软雅黑" w:hAnsi="微软雅黑" w:eastAsia="微软雅黑"/>
          <w:b/>
          <w:szCs w:val="21"/>
        </w:rPr>
        <w:t>1、理论学习：提高员工政治素养</w:t>
      </w:r>
    </w:p>
    <w:p>
      <w:pPr>
        <w:spacing w:line="360" w:lineRule="auto"/>
        <w:ind w:firstLine="420" w:firstLineChars="200"/>
        <w:rPr>
          <w:rFonts w:ascii="宋体" w:hAnsi="宋体" w:eastAsia="宋体"/>
          <w:szCs w:val="21"/>
        </w:rPr>
      </w:pPr>
      <w:r>
        <w:rPr>
          <w:rFonts w:hint="eastAsia" w:ascii="宋体" w:hAnsi="宋体" w:eastAsia="宋体"/>
          <w:szCs w:val="21"/>
        </w:rPr>
        <w:t>（1）学习有计划、有常态化活动载体。依据《闵行区图书馆职工政治学习制度》，本馆结合工作实际，每年度都制订相应的学习计划，不仅</w:t>
      </w:r>
      <w:r>
        <w:rPr>
          <w:rFonts w:ascii="宋体" w:hAnsi="宋体" w:eastAsia="宋体"/>
          <w:szCs w:val="21"/>
        </w:rPr>
        <w:t>在领导班子和党员内深入开展各类政治理论学习，如：市第十一次党代会精神、党的十九大报告学习</w:t>
      </w:r>
      <w:r>
        <w:rPr>
          <w:rFonts w:hint="eastAsia" w:ascii="宋体" w:hAnsi="宋体" w:eastAsia="宋体"/>
          <w:szCs w:val="21"/>
        </w:rPr>
        <w:t>、习近平生态文明思想学习</w:t>
      </w:r>
      <w:r>
        <w:rPr>
          <w:rFonts w:ascii="宋体" w:hAnsi="宋体" w:eastAsia="宋体"/>
          <w:szCs w:val="21"/>
        </w:rPr>
        <w:t>等，并在扩大学习会议时，</w:t>
      </w:r>
      <w:r>
        <w:rPr>
          <w:rFonts w:hint="eastAsia" w:ascii="宋体" w:hAnsi="宋体" w:eastAsia="宋体"/>
          <w:szCs w:val="21"/>
        </w:rPr>
        <w:t>还</w:t>
      </w:r>
      <w:r>
        <w:rPr>
          <w:rFonts w:ascii="宋体" w:hAnsi="宋体" w:eastAsia="宋体"/>
          <w:szCs w:val="21"/>
        </w:rPr>
        <w:t>将入党积极分子、青年团员、部主任和群众职工纳入其中，在学习中加强思想建设，改进个人作风，不断提升党员职工的理论素养、思维水平、决策能力和工作本领；</w:t>
      </w:r>
      <w:r>
        <w:rPr>
          <w:rFonts w:hint="eastAsia" w:ascii="宋体" w:hAnsi="宋体" w:eastAsia="宋体"/>
          <w:szCs w:val="21"/>
        </w:rPr>
        <w:t>2</w:t>
      </w:r>
      <w:r>
        <w:rPr>
          <w:rFonts w:ascii="宋体" w:hAnsi="宋体" w:eastAsia="宋体"/>
          <w:szCs w:val="21"/>
        </w:rPr>
        <w:t>018</w:t>
      </w:r>
      <w:r>
        <w:rPr>
          <w:rFonts w:hint="eastAsia" w:ascii="宋体" w:hAnsi="宋体" w:eastAsia="宋体"/>
          <w:szCs w:val="21"/>
        </w:rPr>
        <w:t>年我馆制订了《闵行区图书馆关于开展“不忘初心，牢记使命，贯彻落实党的十九大精神”学习实践活动实施方案》，全馆职工积极参与。学习内容涉及政治理论学习、廉政教育与作风建设、业务技能交流等，学习形式既有集中上党课、网上大讨论、下发学习材料自学、谈心交流、参观等。并建有“闵图文明之窗”、“闵图党建园地”、“闵图职工之家”局域网站开展宣传、学习、互动交流等，并开通“闵图之家”、“闵图党员之家”Q</w:t>
      </w:r>
      <w:r>
        <w:rPr>
          <w:rFonts w:ascii="宋体" w:hAnsi="宋体" w:eastAsia="宋体"/>
          <w:szCs w:val="21"/>
        </w:rPr>
        <w:t>Q</w:t>
      </w:r>
      <w:r>
        <w:rPr>
          <w:rFonts w:hint="eastAsia" w:ascii="宋体" w:hAnsi="宋体" w:eastAsia="宋体"/>
          <w:szCs w:val="21"/>
        </w:rPr>
        <w:t>及微信群，方便职工学习交流。</w:t>
      </w:r>
    </w:p>
    <w:p>
      <w:pPr>
        <w:spacing w:line="360" w:lineRule="auto"/>
        <w:ind w:firstLine="420" w:firstLineChars="200"/>
        <w:rPr>
          <w:rFonts w:ascii="宋体" w:hAnsi="宋体" w:eastAsia="宋体"/>
          <w:szCs w:val="21"/>
        </w:rPr>
      </w:pPr>
      <w:r>
        <w:rPr>
          <w:rFonts w:hint="eastAsia" w:ascii="宋体" w:hAnsi="宋体" w:eastAsia="宋体"/>
          <w:szCs w:val="21"/>
        </w:rPr>
        <w:t xml:space="preserve">（2）文明创建有规划、有组织。 </w:t>
      </w:r>
      <w:r>
        <w:rPr>
          <w:rFonts w:ascii="宋体" w:hAnsi="宋体" w:eastAsia="宋体"/>
          <w:szCs w:val="21"/>
        </w:rPr>
        <w:t xml:space="preserve"> 201</w:t>
      </w:r>
      <w:r>
        <w:rPr>
          <w:rFonts w:hint="eastAsia" w:ascii="宋体" w:hAnsi="宋体" w:eastAsia="宋体"/>
          <w:szCs w:val="21"/>
        </w:rPr>
        <w:t>8年初我馆便召开馆务会，专题讨论、布置了新一轮文明创建工作，制订了《2018年度闵行区图书馆文明单位创建领导小组及分工》及《2018年度闵行区图书馆文明单位创建计划》，并在部主任会议上进行公布。向全馆职工发起开展文明创建动员，做到文明创建员工知晓率1</w:t>
      </w:r>
      <w:r>
        <w:rPr>
          <w:rFonts w:ascii="宋体" w:hAnsi="宋体" w:eastAsia="宋体"/>
          <w:szCs w:val="21"/>
        </w:rPr>
        <w:t>00%</w:t>
      </w:r>
      <w:r>
        <w:rPr>
          <w:rFonts w:hint="eastAsia" w:ascii="宋体" w:hAnsi="宋体" w:eastAsia="宋体"/>
          <w:szCs w:val="21"/>
        </w:rPr>
        <w:t>，参与率1</w:t>
      </w:r>
      <w:r>
        <w:rPr>
          <w:rFonts w:ascii="宋体" w:hAnsi="宋体" w:eastAsia="宋体"/>
          <w:szCs w:val="21"/>
        </w:rPr>
        <w:t>00%</w:t>
      </w:r>
      <w:r>
        <w:rPr>
          <w:rFonts w:hint="eastAsia" w:ascii="宋体" w:hAnsi="宋体" w:eastAsia="宋体"/>
          <w:szCs w:val="21"/>
        </w:rPr>
        <w:t>。而且工会召开相关会议，要求四个班组根据本馆的文明创建计划，制订了每个班组相应的文明创建计划，进一步细化工作内容，将责任落实到人，保障计划执行到位。</w:t>
      </w:r>
    </w:p>
    <w:p>
      <w:pPr>
        <w:spacing w:line="360" w:lineRule="auto"/>
        <w:ind w:firstLine="420" w:firstLineChars="200"/>
        <w:rPr>
          <w:rFonts w:ascii="宋体" w:hAnsi="宋体" w:eastAsia="宋体"/>
          <w:szCs w:val="21"/>
        </w:rPr>
      </w:pPr>
      <w:r>
        <w:rPr>
          <w:rFonts w:hint="eastAsia" w:ascii="宋体" w:hAnsi="宋体" w:eastAsia="宋体"/>
          <w:szCs w:val="21"/>
        </w:rPr>
        <w:t xml:space="preserve">（3）持续开展丰富的文明创建活动。 </w:t>
      </w:r>
      <w:r>
        <w:rPr>
          <w:rFonts w:ascii="宋体" w:hAnsi="宋体" w:eastAsia="宋体"/>
          <w:szCs w:val="21"/>
        </w:rPr>
        <w:t xml:space="preserve"> </w:t>
      </w:r>
      <w:r>
        <w:rPr>
          <w:rFonts w:hint="eastAsia" w:ascii="宋体" w:hAnsi="宋体" w:eastAsia="宋体"/>
          <w:szCs w:val="21"/>
        </w:rPr>
        <w:t>我馆文明创建工作主要分党、政、工三条线按计划开展活动的。党支部负责职工思想建设、员工教育、同创共建等，行政负责业务建设、诚信服务、员工技能培训及环保节能等，工会负责员工劳动保护、文化建设、公益捐助等，另外团支部负责员工志愿服务等方面工作。自2</w:t>
      </w:r>
      <w:r>
        <w:rPr>
          <w:rFonts w:ascii="宋体" w:hAnsi="宋体" w:eastAsia="宋体"/>
          <w:szCs w:val="21"/>
        </w:rPr>
        <w:t>01</w:t>
      </w:r>
      <w:r>
        <w:rPr>
          <w:rFonts w:hint="eastAsia" w:ascii="宋体" w:hAnsi="宋体" w:eastAsia="宋体"/>
          <w:szCs w:val="21"/>
        </w:rPr>
        <w:t>8年初起，本馆外借部、阅览部、信息部等读者服务窗口持续开展“用心服务、提升内涵”的主题教育活动，把亲子阅读、职工培训、视频播映、读书分享、学术研究、创先争优等</w:t>
      </w:r>
      <w:r>
        <w:rPr>
          <w:rFonts w:ascii="宋体" w:hAnsi="宋体" w:eastAsia="宋体"/>
          <w:szCs w:val="21"/>
        </w:rPr>
        <w:t>13</w:t>
      </w:r>
      <w:r>
        <w:rPr>
          <w:rFonts w:hint="eastAsia" w:ascii="宋体" w:hAnsi="宋体" w:eastAsia="宋体"/>
          <w:szCs w:val="21"/>
        </w:rPr>
        <w:t>项任务贯穿于全年读者服务中，倡导用心服务、传递精神文明，强化责任意识、提升工作水平，在为广大读者提供方便、快捷、温馨服务的同时，满足读者不断增长的精神文化需求，推进本馆文明创建和闵行区创全工作的开展。</w:t>
      </w:r>
    </w:p>
    <w:tbl>
      <w:tblPr>
        <w:tblStyle w:val="8"/>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6"/>
        <w:gridCol w:w="4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527300" cy="1683385"/>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7300" cy="1683813"/>
                          </a:xfrm>
                          <a:prstGeom prst="rect">
                            <a:avLst/>
                          </a:prstGeom>
                          <a:noFill/>
                          <a:ln>
                            <a:noFill/>
                          </a:ln>
                        </pic:spPr>
                      </pic:pic>
                    </a:graphicData>
                  </a:graphic>
                </wp:inline>
              </w:drawing>
            </w:r>
          </w:p>
        </w:tc>
        <w:tc>
          <w:tcPr>
            <w:tcW w:w="4264"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561590" cy="1613535"/>
                  <wp:effectExtent l="0" t="0" r="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1864" cy="161397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zCs w:val="21"/>
              </w:rPr>
              <w:t>参观“从石库门到天安门”美术展</w:t>
            </w:r>
          </w:p>
        </w:tc>
        <w:tc>
          <w:tcPr>
            <w:tcW w:w="426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参观学习 “跨越时代的井冈山精神”</w:t>
            </w:r>
          </w:p>
          <w:p>
            <w:pPr>
              <w:spacing w:line="360" w:lineRule="auto"/>
              <w:jc w:val="center"/>
              <w:rPr>
                <w:rFonts w:asciiTheme="minorEastAsia" w:hAnsiTheme="minorEastAsia"/>
                <w:spacing w:val="8"/>
                <w:szCs w:val="21"/>
              </w:rPr>
            </w:pPr>
            <w:r>
              <w:rPr>
                <w:rFonts w:hint="eastAsia" w:asciiTheme="minorEastAsia" w:hAnsiTheme="minorEastAsia"/>
                <w:spacing w:val="8"/>
                <w:szCs w:val="21"/>
              </w:rPr>
              <w:t>展览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466975" cy="164401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975" cy="1644649"/>
                          </a:xfrm>
                          <a:prstGeom prst="rect">
                            <a:avLst/>
                          </a:prstGeom>
                          <a:noFill/>
                          <a:ln>
                            <a:noFill/>
                          </a:ln>
                        </pic:spPr>
                      </pic:pic>
                    </a:graphicData>
                  </a:graphic>
                </wp:inline>
              </w:drawing>
            </w:r>
          </w:p>
        </w:tc>
        <w:tc>
          <w:tcPr>
            <w:tcW w:w="4264"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458085" cy="163893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965" cy="165130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“不忘初心，牢记使命”专题党课</w:t>
            </w:r>
          </w:p>
        </w:tc>
        <w:tc>
          <w:tcPr>
            <w:tcW w:w="426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zCs w:val="21"/>
              </w:rPr>
              <w:t>参加“中国一分钟”主题党课</w:t>
            </w:r>
          </w:p>
        </w:tc>
      </w:tr>
    </w:tbl>
    <w:p>
      <w:pPr>
        <w:spacing w:line="360" w:lineRule="auto"/>
        <w:ind w:left="147" w:leftChars="70" w:firstLine="226" w:firstLineChars="100"/>
        <w:rPr>
          <w:rFonts w:asciiTheme="minorEastAsia" w:hAnsiTheme="minorEastAsia"/>
          <w:spacing w:val="8"/>
          <w:szCs w:val="21"/>
        </w:rPr>
      </w:pPr>
    </w:p>
    <w:p>
      <w:pPr>
        <w:spacing w:line="360" w:lineRule="auto"/>
        <w:ind w:left="147" w:leftChars="70" w:firstLine="210" w:firstLineChars="100"/>
        <w:rPr>
          <w:rFonts w:ascii="微软雅黑" w:hAnsi="微软雅黑" w:eastAsia="微软雅黑"/>
          <w:b/>
          <w:szCs w:val="21"/>
        </w:rPr>
      </w:pPr>
      <w:r>
        <w:rPr>
          <w:rFonts w:hint="eastAsia" w:ascii="微软雅黑" w:hAnsi="微软雅黑" w:eastAsia="微软雅黑"/>
          <w:b/>
          <w:szCs w:val="21"/>
        </w:rPr>
        <w:t>2、员工教育:开展市民修养行动</w:t>
      </w:r>
    </w:p>
    <w:p>
      <w:pPr>
        <w:spacing w:line="36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1）</w:t>
      </w:r>
      <w:r>
        <w:rPr>
          <w:rFonts w:hint="eastAsia" w:ascii="宋体" w:hAnsi="宋体" w:eastAsia="宋体"/>
          <w:szCs w:val="21"/>
        </w:rPr>
        <w:t>组织开展职工活动，推进团队文化建设。一是每年至少自主举办职工运动会，旨在活跃工作氛围，凝聚人心，培养团队合作精神。二是组织职工参加馆外的活动，如局运动会、区文广局广播操队、区总工会举办的马桥杯中国象棋比赛、“书画摄影征集活动”等。三是组织开展女工活动，如</w:t>
      </w:r>
      <w:r>
        <w:rPr>
          <w:rFonts w:ascii="宋体" w:hAnsi="宋体" w:eastAsia="宋体"/>
          <w:szCs w:val="21"/>
        </w:rPr>
        <w:t>插花活动</w:t>
      </w:r>
      <w:r>
        <w:rPr>
          <w:rFonts w:hint="eastAsia" w:ascii="宋体" w:hAnsi="宋体" w:eastAsia="宋体"/>
          <w:szCs w:val="21"/>
        </w:rPr>
        <w:t>、瑜伽健身培训等。四是开展职工培训活动。如由信息班组主办，面向本馆职工开展摄影基础培训、由外借班组邀请上海图书馆的老师来馆举办有关借还书、办证及参考咨询方面的业务培训等。</w:t>
      </w:r>
    </w:p>
    <w:p>
      <w:pPr>
        <w:spacing w:line="360" w:lineRule="auto"/>
        <w:ind w:firstLine="420" w:firstLineChars="200"/>
        <w:rPr>
          <w:rFonts w:ascii="宋体" w:hAnsi="宋体" w:eastAsia="宋体"/>
          <w:szCs w:val="21"/>
        </w:rPr>
      </w:pPr>
      <w:r>
        <w:rPr>
          <w:rFonts w:ascii="宋体" w:hAnsi="宋体" w:eastAsia="宋体"/>
          <w:szCs w:val="21"/>
        </w:rPr>
        <w:t>（2）</w:t>
      </w:r>
      <w:r>
        <w:rPr>
          <w:rFonts w:hint="eastAsia" w:ascii="宋体" w:hAnsi="宋体" w:eastAsia="宋体"/>
          <w:szCs w:val="21"/>
        </w:rPr>
        <w:t>开展各类学习活动，提高员工精神文明。根据本馆的实际情况，在不同的层面，不拘一格的形式开展各类学习活动，组织员工积极参加各类精神文明创建活动。通过购买发放辅导读物、组织集中观影观展、学习先进典型、组织集中学习等形式培养和践行社会主义核心价值观，学习十九大精神 、习近平新时代中国特色社会主义思想、习近平生态文明思想，并融入单位团队文化之中，转化为事业发展的前进动力。</w:t>
      </w:r>
    </w:p>
    <w:p>
      <w:pPr>
        <w:spacing w:line="360" w:lineRule="auto"/>
        <w:ind w:firstLine="420" w:firstLineChars="200"/>
        <w:rPr>
          <w:rFonts w:ascii="宋体" w:hAnsi="宋体" w:eastAsia="宋体"/>
          <w:szCs w:val="21"/>
        </w:rPr>
      </w:pPr>
      <w:r>
        <w:rPr>
          <w:rFonts w:hint="eastAsia" w:ascii="宋体" w:hAnsi="宋体" w:eastAsia="宋体"/>
          <w:szCs w:val="21"/>
        </w:rPr>
        <w:t>（3）举办各类培训活动，提升员工综合素质。一是组织青年职工参与党建方面的知识学习、形势教育等活动。二是积极参加图书馆行业组织各类业务培训。三是与上海交大图书馆合作，开展馆际业务交流。四是分批组织职工参与上海市文化从业人员万人大培训，并从经费上为职工参加业务培训提供支持。五是以敏思学社为依托，开展学术交流。还开展职工读书征文活动、业务技能大比拼及岗位交流活动等。</w:t>
      </w:r>
    </w:p>
    <w:p>
      <w:pPr>
        <w:spacing w:line="360" w:lineRule="auto"/>
        <w:ind w:firstLine="420" w:firstLineChars="200"/>
        <w:rPr>
          <w:rFonts w:ascii="微软雅黑" w:hAnsi="微软雅黑" w:eastAsia="微软雅黑"/>
          <w:b/>
          <w:szCs w:val="21"/>
        </w:rPr>
      </w:pPr>
      <w:r>
        <w:rPr>
          <w:rFonts w:ascii="微软雅黑" w:hAnsi="微软雅黑" w:eastAsia="微软雅黑"/>
          <w:b/>
          <w:szCs w:val="21"/>
        </w:rPr>
        <w:t>3</w:t>
      </w:r>
      <w:r>
        <w:rPr>
          <w:rFonts w:hint="eastAsia" w:ascii="微软雅黑" w:hAnsi="微软雅黑" w:eastAsia="微软雅黑"/>
          <w:b/>
          <w:szCs w:val="21"/>
        </w:rPr>
        <w:t>、员工录用：按照制度规范操作</w:t>
      </w:r>
    </w:p>
    <w:p>
      <w:pPr>
        <w:spacing w:line="360" w:lineRule="auto"/>
        <w:ind w:firstLine="420" w:firstLineChars="200"/>
        <w:rPr>
          <w:rFonts w:ascii="宋体" w:hAnsi="宋体" w:eastAsia="宋体"/>
          <w:szCs w:val="21"/>
        </w:rPr>
      </w:pPr>
      <w:r>
        <w:rPr>
          <w:rFonts w:hint="eastAsia" w:ascii="宋体" w:hAnsi="宋体" w:eastAsia="宋体"/>
          <w:szCs w:val="21"/>
        </w:rPr>
        <w:t>（1）规范用工。本馆严格按照上海市事业单位公开招聘办法，员工录用程序规范、透明，经过统一考试、面试等环节，确定录用后，经过试用期合格的，按相关法律规定全部签订劳动合同，签订劳动合同率100%。本馆职工64名。其中编制内职工48人、派遣制职工16人。</w:t>
      </w:r>
    </w:p>
    <w:p>
      <w:pPr>
        <w:spacing w:line="360" w:lineRule="auto"/>
        <w:ind w:firstLine="420" w:firstLineChars="200"/>
        <w:rPr>
          <w:rFonts w:ascii="宋体" w:hAnsi="宋体" w:eastAsia="宋体"/>
          <w:szCs w:val="21"/>
        </w:rPr>
      </w:pPr>
      <w:r>
        <w:rPr>
          <w:rFonts w:hint="eastAsia" w:ascii="宋体" w:hAnsi="宋体" w:eastAsia="宋体"/>
          <w:szCs w:val="21"/>
        </w:rPr>
        <w:t>（2）科学设岗。根据</w:t>
      </w:r>
      <w:r>
        <w:rPr>
          <w:rFonts w:ascii="宋体" w:hAnsi="宋体" w:eastAsia="宋体"/>
          <w:szCs w:val="21"/>
        </w:rPr>
        <w:t>国务院法制办公室关于公布《事业单位人事管理条例（征求意见稿）》公开征求意见的通知</w:t>
      </w:r>
      <w:r>
        <w:rPr>
          <w:rFonts w:hint="eastAsia" w:ascii="宋体" w:hAnsi="宋体" w:eastAsia="宋体"/>
          <w:szCs w:val="21"/>
        </w:rPr>
        <w:t>，在完成</w:t>
      </w:r>
      <w:r>
        <w:rPr>
          <w:rFonts w:ascii="宋体" w:hAnsi="宋体" w:eastAsia="宋体"/>
          <w:szCs w:val="21"/>
        </w:rPr>
        <w:t>岗位</w:t>
      </w:r>
      <w:r>
        <w:rPr>
          <w:rFonts w:hint="eastAsia" w:ascii="宋体" w:hAnsi="宋体" w:eastAsia="宋体"/>
          <w:szCs w:val="21"/>
        </w:rPr>
        <w:t>聘用工作完成的基础上，对原来的岗位系数进行了进一步调整与优化，使得更加有利于事业的可持续、科学发展。</w:t>
      </w:r>
    </w:p>
    <w:p>
      <w:pPr>
        <w:spacing w:line="360" w:lineRule="auto"/>
        <w:ind w:firstLine="420" w:firstLineChars="200"/>
        <w:rPr>
          <w:rFonts w:ascii="宋体" w:hAnsi="宋体" w:eastAsia="宋体"/>
          <w:szCs w:val="21"/>
        </w:rPr>
      </w:pPr>
      <w:r>
        <w:rPr>
          <w:rFonts w:hint="eastAsia" w:ascii="宋体" w:hAnsi="宋体" w:eastAsia="宋体"/>
          <w:szCs w:val="21"/>
        </w:rPr>
        <w:t>（3）选树典型。2</w:t>
      </w:r>
      <w:r>
        <w:rPr>
          <w:rFonts w:ascii="宋体" w:hAnsi="宋体" w:eastAsia="宋体"/>
          <w:szCs w:val="21"/>
        </w:rPr>
        <w:t>01</w:t>
      </w:r>
      <w:r>
        <w:rPr>
          <w:rFonts w:hint="eastAsia" w:ascii="宋体" w:hAnsi="宋体" w:eastAsia="宋体"/>
          <w:szCs w:val="21"/>
        </w:rPr>
        <w:t>8年度考核时，我馆共有24名员工被考评为馆内表扬、局先</w:t>
      </w:r>
    </w:p>
    <w:p>
      <w:pPr>
        <w:spacing w:line="360" w:lineRule="auto"/>
        <w:ind w:firstLine="420" w:firstLineChars="200"/>
        <w:rPr>
          <w:rFonts w:ascii="宋体" w:hAnsi="宋体" w:eastAsia="宋体"/>
          <w:szCs w:val="21"/>
        </w:rPr>
      </w:pPr>
      <w:r>
        <w:rPr>
          <w:rFonts w:hint="eastAsia" w:ascii="宋体" w:hAnsi="宋体" w:eastAsia="宋体"/>
          <w:szCs w:val="21"/>
        </w:rPr>
        <w:t>进、区嘉奖等，占全馆职工总人数的37</w:t>
      </w:r>
      <w:r>
        <w:rPr>
          <w:rFonts w:ascii="宋体" w:hAnsi="宋体" w:eastAsia="宋体"/>
          <w:szCs w:val="21"/>
        </w:rPr>
        <w:t>%</w:t>
      </w:r>
      <w:r>
        <w:rPr>
          <w:rFonts w:hint="eastAsia" w:ascii="宋体" w:hAnsi="宋体" w:eastAsia="宋体"/>
          <w:szCs w:val="21"/>
        </w:rPr>
        <w:t>，其中局先进1</w:t>
      </w:r>
      <w:r>
        <w:rPr>
          <w:rFonts w:ascii="宋体" w:hAnsi="宋体" w:eastAsia="宋体"/>
          <w:szCs w:val="21"/>
        </w:rPr>
        <w:t>1</w:t>
      </w:r>
      <w:r>
        <w:rPr>
          <w:rFonts w:hint="eastAsia" w:ascii="宋体" w:hAnsi="宋体" w:eastAsia="宋体"/>
          <w:szCs w:val="21"/>
        </w:rPr>
        <w:t>人，区嘉奖7人，派遣制员工（政府雇员）7人，占比29</w:t>
      </w:r>
      <w:r>
        <w:rPr>
          <w:rFonts w:ascii="宋体" w:hAnsi="宋体" w:eastAsia="宋体"/>
          <w:szCs w:val="21"/>
        </w:rPr>
        <w:t>%</w:t>
      </w:r>
      <w:r>
        <w:rPr>
          <w:rFonts w:hint="eastAsia" w:ascii="宋体" w:hAnsi="宋体" w:eastAsia="宋体"/>
          <w:szCs w:val="21"/>
        </w:rPr>
        <w:t>。此结果在“闵图文明之窗”公布公示，以示鼓励，激励全馆职工向先进学习，勇于奉献，努力工作，再创佳绩。</w:t>
      </w:r>
    </w:p>
    <w:tbl>
      <w:tblPr>
        <w:tblStyle w:val="8"/>
        <w:tblpPr w:leftFromText="180" w:rightFromText="180" w:vertAnchor="page" w:horzAnchor="margin" w:tblpXSpec="center" w:tblpY="93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trPr>
        <w:tc>
          <w:tcPr>
            <w:tcW w:w="6062" w:type="dxa"/>
            <w:shd w:val="clear" w:color="auto" w:fill="auto"/>
            <w:vAlign w:val="center"/>
          </w:tcPr>
          <w:p>
            <w:pPr>
              <w:spacing w:line="360" w:lineRule="auto"/>
              <w:jc w:val="center"/>
              <w:rPr>
                <w:rFonts w:asciiTheme="minorEastAsia" w:hAnsiTheme="minorEastAsia"/>
                <w:spacing w:val="8"/>
                <w:szCs w:val="21"/>
              </w:rPr>
            </w:pPr>
            <w:r>
              <w:rPr>
                <w:rFonts w:asciiTheme="minorEastAsia" w:hAnsiTheme="minorEastAsia"/>
                <w:spacing w:val="8"/>
                <w:szCs w:val="21"/>
              </w:rPr>
              <w:drawing>
                <wp:inline distT="0" distB="0" distL="0" distR="0">
                  <wp:extent cx="3415665" cy="1707515"/>
                  <wp:effectExtent l="0" t="0" r="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3419022" cy="1709512"/>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62" w:type="dxa"/>
            <w:shd w:val="clear" w:color="auto" w:fill="auto"/>
          </w:tcPr>
          <w:p>
            <w:pPr>
              <w:spacing w:line="360" w:lineRule="auto"/>
              <w:jc w:val="center"/>
              <w:rPr>
                <w:rFonts w:asciiTheme="minorEastAsia" w:hAnsiTheme="minorEastAsia"/>
                <w:spacing w:val="8"/>
                <w:szCs w:val="21"/>
              </w:rPr>
            </w:pPr>
            <w:r>
              <w:rPr>
                <w:rFonts w:hint="eastAsia" w:asciiTheme="minorEastAsia" w:hAnsiTheme="minorEastAsia"/>
                <w:spacing w:val="8"/>
                <w:szCs w:val="21"/>
              </w:rPr>
              <w:t>2018年闵行区图书馆考核评优结果公示</w:t>
            </w:r>
          </w:p>
          <w:p>
            <w:pPr>
              <w:spacing w:line="360" w:lineRule="auto"/>
              <w:jc w:val="center"/>
              <w:rPr>
                <w:rFonts w:asciiTheme="minorEastAsia" w:hAnsiTheme="minorEastAsia"/>
                <w:spacing w:val="8"/>
                <w:szCs w:val="21"/>
              </w:rPr>
            </w:pPr>
            <w:r>
              <w:rPr>
                <w:rFonts w:hint="eastAsia" w:asciiTheme="minorEastAsia" w:hAnsiTheme="minorEastAsia"/>
                <w:spacing w:val="8"/>
                <w:szCs w:val="21"/>
              </w:rPr>
              <w:t>（闵图文明之窗截图）</w:t>
            </w:r>
          </w:p>
        </w:tc>
      </w:tr>
    </w:tbl>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r>
        <w:rPr>
          <w:rFonts w:ascii="微软雅黑" w:hAnsi="微软雅黑" w:eastAsia="微软雅黑"/>
          <w:b/>
          <w:szCs w:val="21"/>
        </w:rPr>
        <w:t>4</w:t>
      </w:r>
      <w:r>
        <w:rPr>
          <w:rFonts w:hint="eastAsia" w:ascii="微软雅黑" w:hAnsi="微软雅黑" w:eastAsia="微软雅黑"/>
          <w:b/>
          <w:szCs w:val="21"/>
        </w:rPr>
        <w:t>、劳动保护：注重教育防范第一</w:t>
      </w:r>
    </w:p>
    <w:p>
      <w:pPr>
        <w:spacing w:line="360" w:lineRule="auto"/>
        <w:ind w:firstLine="420" w:firstLineChars="200"/>
        <w:rPr>
          <w:rFonts w:ascii="宋体" w:hAnsi="宋体" w:eastAsia="宋体"/>
          <w:szCs w:val="21"/>
        </w:rPr>
      </w:pPr>
      <w:r>
        <w:rPr>
          <w:rFonts w:hint="eastAsia" w:ascii="宋体" w:hAnsi="宋体" w:eastAsia="宋体"/>
          <w:szCs w:val="21"/>
        </w:rPr>
        <w:t>图书馆向来是人员密集的场所，属于消防和治安的重点单位。针对这一特点，长期以来，我馆领导非常重视、狠抓落实,主要采取了以下措施：</w:t>
      </w:r>
    </w:p>
    <w:p>
      <w:pPr>
        <w:spacing w:line="360" w:lineRule="auto"/>
        <w:ind w:firstLine="420" w:firstLineChars="200"/>
        <w:rPr>
          <w:rFonts w:ascii="宋体" w:hAnsi="宋体" w:eastAsia="宋体"/>
          <w:szCs w:val="21"/>
        </w:rPr>
      </w:pPr>
      <w:r>
        <w:rPr>
          <w:rFonts w:hint="eastAsia" w:ascii="宋体" w:hAnsi="宋体" w:eastAsia="宋体"/>
          <w:szCs w:val="21"/>
        </w:rPr>
        <w:t>（1）建立制度。本馆领导与上级主管部门签订《安全保卫目标责任书》，根据目标责任书要求，制定消防、安全等相关应急预案和应急处置办法、门禁卡管理使用规定，日常对安保有相应的记录，层层分解，责任到人，在读者服务区域专门设立安全值班岗，建立相应安全检查机制。</w:t>
      </w:r>
    </w:p>
    <w:p>
      <w:pPr>
        <w:spacing w:line="360" w:lineRule="auto"/>
        <w:ind w:firstLine="420" w:firstLineChars="200"/>
        <w:rPr>
          <w:rFonts w:ascii="宋体" w:hAnsi="宋体" w:eastAsia="宋体"/>
          <w:szCs w:val="21"/>
        </w:rPr>
      </w:pPr>
      <w:r>
        <w:rPr>
          <w:rFonts w:hint="eastAsia" w:ascii="宋体" w:hAnsi="宋体" w:eastAsia="宋体"/>
          <w:szCs w:val="21"/>
        </w:rPr>
        <w:t>（2）注重宣传。各项制度除了在网上“馆务公开”栏目进行宣传外，每年邀请消防专业人员来馆介绍安全知识。同时，与辖区派出所、春申文化广场保障部、物业紧密联系，及时通报安全等方面的信息，对重点场所、重点对象加强防范。</w:t>
      </w:r>
    </w:p>
    <w:p>
      <w:pPr>
        <w:spacing w:line="360" w:lineRule="auto"/>
        <w:ind w:firstLine="420" w:firstLineChars="200"/>
        <w:rPr>
          <w:rFonts w:ascii="宋体" w:hAnsi="宋体" w:eastAsia="宋体"/>
          <w:szCs w:val="21"/>
        </w:rPr>
      </w:pPr>
      <w:r>
        <w:rPr>
          <w:rFonts w:hint="eastAsia" w:ascii="宋体" w:hAnsi="宋体" w:eastAsia="宋体"/>
          <w:szCs w:val="21"/>
        </w:rPr>
        <w:t>（3）重视教育。通过对职工的培训教育，加强对读者区域的巡逻力度，发现可疑情况，及时与物业保安进行沟通。年中开展消防演练，并积极参与闵行区创全工作，查找存在的问题，消除存在的安全隐患，整改在文明服务方面的不足。同时，在阅览室、自修室等处，设置贵重物品保管提示牌，提高读者防偷防盗意识。2018年本馆无任何重大安全事故发生。</w:t>
      </w:r>
    </w:p>
    <w:p>
      <w:pPr>
        <w:spacing w:line="360" w:lineRule="auto"/>
        <w:ind w:firstLine="412" w:firstLineChars="196"/>
        <w:rPr>
          <w:rFonts w:ascii="微软雅黑" w:hAnsi="微软雅黑" w:eastAsia="微软雅黑"/>
          <w:b/>
          <w:szCs w:val="21"/>
        </w:rPr>
      </w:pPr>
      <w:r>
        <w:rPr>
          <w:rFonts w:hint="eastAsia" w:ascii="微软雅黑" w:hAnsi="微软雅黑" w:eastAsia="微软雅黑"/>
          <w:b/>
          <w:szCs w:val="21"/>
        </w:rPr>
        <w:t>（二）遵纪守法廉洁自律，树立闵图诚信形象</w:t>
      </w:r>
    </w:p>
    <w:p>
      <w:pPr>
        <w:spacing w:line="360" w:lineRule="auto"/>
        <w:ind w:firstLine="420" w:firstLineChars="200"/>
        <w:rPr>
          <w:rFonts w:ascii="宋体" w:hAnsi="宋体" w:eastAsia="宋体"/>
          <w:szCs w:val="21"/>
        </w:rPr>
      </w:pPr>
      <w:r>
        <w:rPr>
          <w:rFonts w:hint="eastAsia" w:ascii="宋体" w:hAnsi="宋体" w:eastAsia="宋体"/>
          <w:szCs w:val="21"/>
        </w:rPr>
        <w:t>作为一个公共文化事业单位，本馆个人信用评价等级为A</w:t>
      </w:r>
      <w:r>
        <w:rPr>
          <w:rFonts w:ascii="宋体" w:hAnsi="宋体" w:eastAsia="宋体"/>
          <w:szCs w:val="21"/>
        </w:rPr>
        <w:t>AA</w:t>
      </w:r>
      <w:r>
        <w:rPr>
          <w:rFonts w:hint="eastAsia" w:ascii="宋体" w:hAnsi="宋体" w:eastAsia="宋体"/>
          <w:szCs w:val="21"/>
        </w:rPr>
        <w:t>，企业信用等级A</w:t>
      </w:r>
      <w:r>
        <w:rPr>
          <w:rFonts w:ascii="宋体" w:hAnsi="宋体" w:eastAsia="宋体"/>
          <w:szCs w:val="21"/>
        </w:rPr>
        <w:t>AA</w:t>
      </w:r>
      <w:r>
        <w:rPr>
          <w:rFonts w:hint="eastAsia" w:ascii="宋体" w:hAnsi="宋体" w:eastAsia="宋体"/>
          <w:szCs w:val="21"/>
        </w:rPr>
        <w:t>，诚信度信用评价等级为1级，1</w:t>
      </w:r>
      <w:r>
        <w:rPr>
          <w:rFonts w:ascii="宋体" w:hAnsi="宋体" w:eastAsia="宋体"/>
          <w:szCs w:val="21"/>
        </w:rPr>
        <w:t>00</w:t>
      </w:r>
      <w:r>
        <w:rPr>
          <w:rFonts w:hint="eastAsia" w:ascii="宋体" w:hAnsi="宋体" w:eastAsia="宋体"/>
          <w:szCs w:val="21"/>
        </w:rPr>
        <w:t>分（本数据源于上海诚信网）。</w:t>
      </w:r>
    </w:p>
    <w:p>
      <w:pPr>
        <w:spacing w:line="360" w:lineRule="auto"/>
        <w:ind w:firstLine="422" w:firstLineChars="200"/>
        <w:rPr>
          <w:rFonts w:asciiTheme="minorEastAsia" w:hAnsiTheme="minorEastAsia"/>
          <w:szCs w:val="21"/>
        </w:rPr>
      </w:pPr>
      <w:r>
        <w:rPr>
          <w:rFonts w:hint="eastAsia" w:asciiTheme="minorEastAsia" w:hAnsiTheme="minorEastAsia"/>
          <w:b/>
          <w:szCs w:val="21"/>
        </w:rPr>
        <w:t>1、加强守法诚信。</w:t>
      </w:r>
      <w:r>
        <w:rPr>
          <w:rFonts w:hint="eastAsia" w:asciiTheme="minorEastAsia" w:hAnsiTheme="minorEastAsia"/>
          <w:szCs w:val="21"/>
        </w:rPr>
        <w:t>遵纪守法、明礼诚信是每个公民的基本要求。</w:t>
      </w:r>
      <w:r>
        <w:rPr>
          <w:rFonts w:asciiTheme="minorEastAsia" w:hAnsiTheme="minorEastAsia"/>
          <w:szCs w:val="21"/>
        </w:rPr>
        <w:t>公共图书馆是精神文明建设的重要窗口，</w:t>
      </w:r>
      <w:r>
        <w:rPr>
          <w:rFonts w:hint="eastAsia" w:asciiTheme="minorEastAsia" w:hAnsiTheme="minorEastAsia"/>
          <w:szCs w:val="21"/>
        </w:rPr>
        <w:t>我们每年通过各种形式，积极开展个人品德、社会公德、家庭美德、职业道德教育，以诚信为本，积极履行社会主义核心价值观。为此，党政班子成员首先带头学法守法用法，要求职工在读者服务过程中，树立文明服务意识，加强道德感与责任感，恪守“一视同仁，耐心细致，及时快捷，想方设法”的行业服务承诺，不断完善图书馆的守法诚信体系。</w:t>
      </w:r>
    </w:p>
    <w:p>
      <w:pPr>
        <w:spacing w:line="360" w:lineRule="auto"/>
        <w:ind w:firstLine="422" w:firstLineChars="200"/>
        <w:rPr>
          <w:rFonts w:ascii="宋体" w:hAnsi="宋体" w:eastAsia="宋体"/>
          <w:szCs w:val="21"/>
        </w:rPr>
      </w:pPr>
      <w:r>
        <w:rPr>
          <w:rFonts w:hint="eastAsia" w:asciiTheme="minorEastAsia" w:hAnsiTheme="minorEastAsia"/>
          <w:b/>
          <w:szCs w:val="21"/>
        </w:rPr>
        <w:t>2、推进廉政建设。</w:t>
      </w:r>
      <w:r>
        <w:rPr>
          <w:rFonts w:hint="eastAsia" w:asciiTheme="minorEastAsia" w:hAnsiTheme="minorEastAsia"/>
          <w:szCs w:val="21"/>
        </w:rPr>
        <w:t>图书馆按照《闵行区文广局2018年度党风廉政建设责任书》要求，明确目标，落实责任</w:t>
      </w:r>
      <w:r>
        <w:rPr>
          <w:rFonts w:hint="eastAsia" w:ascii="宋体" w:hAnsi="宋体" w:eastAsia="宋体"/>
          <w:szCs w:val="21"/>
        </w:rPr>
        <w:t>。主要体现在以下“三个方面”：</w:t>
      </w:r>
    </w:p>
    <w:p>
      <w:pPr>
        <w:spacing w:line="360" w:lineRule="auto"/>
        <w:ind w:firstLine="420" w:firstLineChars="200"/>
        <w:rPr>
          <w:rFonts w:ascii="宋体" w:hAnsi="宋体" w:eastAsia="宋体"/>
          <w:szCs w:val="21"/>
        </w:rPr>
      </w:pPr>
      <w:r>
        <w:rPr>
          <w:rFonts w:hint="eastAsia" w:ascii="宋体" w:hAnsi="宋体" w:eastAsia="宋体"/>
          <w:szCs w:val="21"/>
        </w:rPr>
        <w:t>（1）领导高度重视，明确责任要求。建立图书馆廉政建设领导小组，党政做到分工明确，责任到人。树立“一岗双责”责任意识，落实好职责范围内的党风廉政建设和反腐倡廉的各项工作任务。</w:t>
      </w:r>
    </w:p>
    <w:p>
      <w:pPr>
        <w:spacing w:line="360" w:lineRule="auto"/>
        <w:ind w:firstLine="420" w:firstLineChars="200"/>
        <w:rPr>
          <w:rFonts w:ascii="宋体" w:hAnsi="宋体" w:eastAsia="宋体"/>
          <w:szCs w:val="21"/>
        </w:rPr>
      </w:pPr>
      <w:r>
        <w:rPr>
          <w:rFonts w:hint="eastAsia" w:ascii="宋体" w:hAnsi="宋体" w:eastAsia="宋体"/>
          <w:szCs w:val="21"/>
        </w:rPr>
        <w:t>（2）完善制度建设，强化内部管理。坚持贯彻民主集中制原则，建立健全制度，加强内部管理。如：《党风建设责任制实施细则》、《图书馆执行“三重一大”制度的实施细则》、《馆务公开实施方案》、《党务公开实施方案》、《职工政治学习制度》、《关于闵行区图书馆公务用车使用的暂行规定》等。凡涉及“三重一大”事项都经过集体讨论作出决定，做到民主、科学决策。</w:t>
      </w:r>
    </w:p>
    <w:p>
      <w:pPr>
        <w:spacing w:line="360" w:lineRule="auto"/>
        <w:ind w:firstLine="420" w:firstLineChars="200"/>
        <w:rPr>
          <w:rFonts w:ascii="宋体" w:hAnsi="宋体" w:eastAsia="宋体"/>
          <w:szCs w:val="21"/>
        </w:rPr>
      </w:pPr>
      <w:r>
        <w:rPr>
          <w:rFonts w:hint="eastAsia" w:ascii="宋体" w:hAnsi="宋体" w:eastAsia="宋体"/>
          <w:szCs w:val="21"/>
        </w:rPr>
        <w:t>（3）借助网络平台，推进反腐倡廉。通过“闵图支部园地”局域网，开设“党风廉政”、“制度建设”、“党务公开”、“馆务公开”栏目，由专人负责上传党风廉政建设方面知识与内容，加强普及宣传。支部建立《谈话制度》，主要针对新提拔的班子、中层、后备干部、行使公权力岗位、新入党成员不定期开展廉洁自律谈心活动。</w:t>
      </w:r>
    </w:p>
    <w:p>
      <w:pPr>
        <w:spacing w:line="360" w:lineRule="auto"/>
        <w:ind w:firstLine="422" w:firstLineChars="200"/>
        <w:rPr>
          <w:rFonts w:asciiTheme="minorEastAsia" w:hAnsiTheme="minorEastAsia"/>
          <w:szCs w:val="21"/>
        </w:rPr>
      </w:pPr>
      <w:r>
        <w:rPr>
          <w:rFonts w:hint="eastAsia" w:asciiTheme="minorEastAsia" w:hAnsiTheme="minorEastAsia"/>
          <w:b/>
          <w:szCs w:val="21"/>
        </w:rPr>
        <w:t>3、开展诚信服务。</w:t>
      </w:r>
      <w:r>
        <w:rPr>
          <w:rFonts w:asciiTheme="minorEastAsia" w:hAnsiTheme="minorEastAsia"/>
          <w:szCs w:val="21"/>
        </w:rPr>
        <w:t>为了树立良好的公众形象，强化内部管理，有效提高服务质量</w:t>
      </w:r>
      <w:r>
        <w:rPr>
          <w:rFonts w:hint="eastAsia" w:asciiTheme="minorEastAsia" w:hAnsiTheme="minorEastAsia"/>
          <w:szCs w:val="21"/>
        </w:rPr>
        <w:t>，本馆积极开展诚信服务</w:t>
      </w:r>
      <w:r>
        <w:rPr>
          <w:rFonts w:asciiTheme="minorEastAsia" w:hAnsiTheme="minorEastAsia"/>
          <w:szCs w:val="21"/>
        </w:rPr>
        <w:t>，</w:t>
      </w:r>
      <w:r>
        <w:rPr>
          <w:rFonts w:hint="eastAsia" w:asciiTheme="minorEastAsia" w:hAnsiTheme="minorEastAsia"/>
          <w:szCs w:val="21"/>
        </w:rPr>
        <w:t>形成与读者互动的诚信服务机制。</w:t>
      </w:r>
    </w:p>
    <w:p>
      <w:pPr>
        <w:spacing w:line="360" w:lineRule="auto"/>
        <w:ind w:firstLine="420" w:firstLineChars="200"/>
        <w:rPr>
          <w:rFonts w:asciiTheme="minorEastAsia" w:hAnsiTheme="minorEastAsia"/>
          <w:szCs w:val="21"/>
        </w:rPr>
      </w:pPr>
      <w:r>
        <w:rPr>
          <w:rFonts w:hint="eastAsia" w:asciiTheme="minorEastAsia" w:hAnsiTheme="minorEastAsia"/>
          <w:szCs w:val="21"/>
        </w:rPr>
        <w:t>（1）读者投诉反馈机制。畅通投诉渠道，在窗口一线设立“意见箱（意见簿）”，在网上建立“馆长信箱”，通过海报、楼宇电视、微博等渠道公开行业监督提示信息。并出台了《</w:t>
      </w:r>
      <w:r>
        <w:rPr>
          <w:rFonts w:asciiTheme="minorEastAsia" w:hAnsiTheme="minorEastAsia"/>
          <w:szCs w:val="21"/>
        </w:rPr>
        <w:t>关于闵行区图书馆</w:t>
      </w:r>
      <w:r>
        <w:rPr>
          <w:rFonts w:hint="eastAsia" w:asciiTheme="minorEastAsia" w:hAnsiTheme="minorEastAsia"/>
          <w:szCs w:val="21"/>
        </w:rPr>
        <w:t>“</w:t>
      </w:r>
      <w:r>
        <w:rPr>
          <w:rFonts w:asciiTheme="minorEastAsia" w:hAnsiTheme="minorEastAsia"/>
          <w:szCs w:val="21"/>
        </w:rPr>
        <w:t>树立公众形象，提高服务质量</w:t>
      </w:r>
      <w:r>
        <w:rPr>
          <w:rFonts w:hint="eastAsia" w:asciiTheme="minorEastAsia" w:hAnsiTheme="minorEastAsia"/>
          <w:szCs w:val="21"/>
        </w:rPr>
        <w:t>”</w:t>
      </w:r>
      <w:r>
        <w:rPr>
          <w:rFonts w:asciiTheme="minorEastAsia" w:hAnsiTheme="minorEastAsia"/>
          <w:szCs w:val="21"/>
        </w:rPr>
        <w:t>的实施意见</w:t>
      </w:r>
      <w:r>
        <w:rPr>
          <w:rFonts w:hint="eastAsia" w:asciiTheme="minorEastAsia" w:hAnsiTheme="minorEastAsia"/>
          <w:szCs w:val="21"/>
        </w:rPr>
        <w:t>》。</w:t>
      </w:r>
    </w:p>
    <w:p>
      <w:pPr>
        <w:spacing w:line="360" w:lineRule="auto"/>
        <w:ind w:firstLine="420" w:firstLineChars="200"/>
        <w:rPr>
          <w:rFonts w:asciiTheme="minorEastAsia" w:hAnsiTheme="minorEastAsia"/>
          <w:szCs w:val="21"/>
        </w:rPr>
      </w:pPr>
      <w:r>
        <w:rPr>
          <w:rFonts w:hint="eastAsia" w:asciiTheme="minorEastAsia" w:hAnsiTheme="minorEastAsia"/>
          <w:szCs w:val="21"/>
        </w:rPr>
        <w:t>（2）员工岗位规范机制。制定岗位规范，在窗口一线接待读者，统一规范用语，如接电话时说：您好，闵行区图书馆；读者咨询时说：读者您好；借完书时说：请拿好读者证和借书单等等。同时，制订《闵图“四要四不要”》岗位规范，从仪表、语言、举止、服务等方面，对员工提出更高要求。</w:t>
      </w:r>
    </w:p>
    <w:p>
      <w:pPr>
        <w:spacing w:line="360" w:lineRule="auto"/>
        <w:ind w:firstLine="420" w:firstLineChars="200"/>
        <w:rPr>
          <w:rFonts w:asciiTheme="minorEastAsia" w:hAnsiTheme="minorEastAsia"/>
          <w:szCs w:val="21"/>
        </w:rPr>
      </w:pPr>
      <w:r>
        <w:rPr>
          <w:rFonts w:hint="eastAsia" w:asciiTheme="minorEastAsia" w:hAnsiTheme="minorEastAsia"/>
          <w:szCs w:val="21"/>
        </w:rPr>
        <w:t>（3）读者队伍监督机制。以公共图书馆行业文明检查及行政效能建设为抓手，在长期探索与实践的基础上，本馆形成了一套行之有效的读者监督机制。每月都会有读者监督员对本馆服务工作进行文明监督，对检查中反映的问题提出整改建议，定期反馈给窗口部门，并要求他们监督整改实施全过程。</w:t>
      </w:r>
    </w:p>
    <w:p>
      <w:pPr>
        <w:spacing w:line="360" w:lineRule="auto"/>
        <w:ind w:firstLine="422" w:firstLineChars="200"/>
        <w:rPr>
          <w:rFonts w:ascii="宋体" w:hAnsi="宋体" w:eastAsia="宋体"/>
          <w:szCs w:val="21"/>
        </w:rPr>
      </w:pPr>
      <w:r>
        <w:rPr>
          <w:rFonts w:hint="eastAsia" w:asciiTheme="minorEastAsia" w:hAnsiTheme="minorEastAsia"/>
          <w:b/>
          <w:szCs w:val="21"/>
        </w:rPr>
        <w:t>4、社会效益显著。</w:t>
      </w:r>
      <w:r>
        <w:rPr>
          <w:rFonts w:hint="eastAsia" w:asciiTheme="minorEastAsia" w:hAnsiTheme="minorEastAsia"/>
          <w:szCs w:val="21"/>
        </w:rPr>
        <w:t>在全体职工共同努力下，图书馆公益服务效益良好，在业界以及闵行区文化系统取得非常好的成效。同时</w:t>
      </w:r>
      <w:r>
        <w:rPr>
          <w:rFonts w:hint="eastAsia" w:ascii="宋体" w:hAnsi="宋体" w:eastAsia="宋体"/>
          <w:szCs w:val="21"/>
        </w:rPr>
        <w:t>，本馆为公益性文化事业单位，报告期内按时为员工交纳各项社保费用，职工收入按国家政策规定发放。</w:t>
      </w:r>
    </w:p>
    <w:p>
      <w:pPr>
        <w:adjustRightInd w:val="0"/>
        <w:snapToGrid w:val="0"/>
        <w:spacing w:line="360" w:lineRule="auto"/>
        <w:ind w:firstLine="482"/>
        <w:rPr>
          <w:rFonts w:ascii="微软雅黑" w:hAnsi="微软雅黑" w:eastAsia="微软雅黑"/>
          <w:b/>
          <w:szCs w:val="21"/>
        </w:rPr>
      </w:pPr>
      <w:r>
        <w:rPr>
          <w:rFonts w:hint="eastAsia" w:ascii="微软雅黑" w:hAnsi="微软雅黑" w:eastAsia="微软雅黑"/>
          <w:b/>
          <w:szCs w:val="21"/>
        </w:rPr>
        <w:t>（三）文化支援扶贫帮困，同创共建合作共赢</w:t>
      </w:r>
    </w:p>
    <w:p>
      <w:pPr>
        <w:spacing w:line="360" w:lineRule="auto"/>
        <w:ind w:firstLine="422" w:firstLineChars="200"/>
        <w:rPr>
          <w:rFonts w:ascii="宋体" w:hAnsi="宋体" w:eastAsia="宋体"/>
          <w:szCs w:val="21"/>
        </w:rPr>
      </w:pPr>
      <w:r>
        <w:rPr>
          <w:rFonts w:hint="eastAsia" w:asciiTheme="minorEastAsia" w:hAnsiTheme="minorEastAsia"/>
          <w:b/>
          <w:szCs w:val="21"/>
        </w:rPr>
        <w:t>1、参与文明共建。</w:t>
      </w:r>
      <w:r>
        <w:rPr>
          <w:rFonts w:hint="eastAsia" w:asciiTheme="minorEastAsia" w:hAnsiTheme="minorEastAsia"/>
          <w:szCs w:val="21"/>
        </w:rPr>
        <w:t>2</w:t>
      </w:r>
      <w:r>
        <w:rPr>
          <w:rFonts w:asciiTheme="minorEastAsia" w:hAnsiTheme="minorEastAsia"/>
          <w:szCs w:val="21"/>
        </w:rPr>
        <w:t>01</w:t>
      </w:r>
      <w:r>
        <w:rPr>
          <w:rFonts w:hint="eastAsia" w:asciiTheme="minorEastAsia" w:hAnsiTheme="minorEastAsia"/>
          <w:szCs w:val="21"/>
        </w:rPr>
        <w:t>8年，我馆继续做好上图协调辅导处、交通大学图书馆第一党支部、上海信息管理学校、</w:t>
      </w:r>
      <w:r>
        <w:rPr>
          <w:rFonts w:asciiTheme="minorEastAsia" w:hAnsiTheme="minorEastAsia"/>
          <w:szCs w:val="21"/>
        </w:rPr>
        <w:t>阳光园</w:t>
      </w:r>
      <w:r>
        <w:rPr>
          <w:rFonts w:ascii="宋体" w:hAnsi="宋体" w:eastAsia="宋体"/>
          <w:szCs w:val="21"/>
        </w:rPr>
        <w:t>居民区党总支开展结对共建活动，促进双方优势互补、双向互动、相互促进、共同发展</w:t>
      </w:r>
      <w:r>
        <w:rPr>
          <w:rFonts w:hint="eastAsia" w:ascii="宋体" w:hAnsi="宋体" w:eastAsia="宋体"/>
          <w:szCs w:val="21"/>
        </w:rPr>
        <w:t>。并且</w:t>
      </w:r>
      <w:r>
        <w:rPr>
          <w:rFonts w:ascii="宋体" w:hAnsi="宋体" w:eastAsia="宋体"/>
          <w:szCs w:val="21"/>
        </w:rPr>
        <w:t>所有党员入</w:t>
      </w:r>
      <w:r>
        <w:rPr>
          <w:rFonts w:hint="eastAsia" w:ascii="宋体" w:hAnsi="宋体" w:eastAsia="宋体"/>
          <w:szCs w:val="21"/>
        </w:rPr>
        <w:t>阳光园</w:t>
      </w:r>
      <w:r>
        <w:rPr>
          <w:rFonts w:ascii="宋体" w:hAnsi="宋体" w:eastAsia="宋体"/>
          <w:szCs w:val="21"/>
        </w:rPr>
        <w:t>社区报到，开展党员入社区志愿服务。</w:t>
      </w:r>
      <w:r>
        <w:rPr>
          <w:rFonts w:hint="eastAsia" w:ascii="宋体" w:hAnsi="宋体" w:eastAsia="宋体"/>
          <w:szCs w:val="21"/>
        </w:rPr>
        <w:t>根据区文广局及莘庄镇党委的区域化党建《文化资源入社区》项目要求，我馆支部与阳光园党总支开展乒乓友谊赛、“朗读声声温情、影响留存时光”庆建党96周年主题活动，并向该居民区赠送过刊，丰富社区居民业余文化生活；2</w:t>
      </w:r>
      <w:r>
        <w:rPr>
          <w:rFonts w:ascii="宋体" w:hAnsi="宋体" w:eastAsia="宋体"/>
          <w:szCs w:val="21"/>
        </w:rPr>
        <w:t>018</w:t>
      </w:r>
      <w:r>
        <w:rPr>
          <w:rFonts w:hint="eastAsia" w:ascii="宋体" w:hAnsi="宋体" w:eastAsia="宋体"/>
          <w:szCs w:val="21"/>
        </w:rPr>
        <w:t>年又与区政协办公室党支部、区机关党工委、精神卫生中心党支部、区检察院、黎安二村居委签订共建协议，协助建立图书室，开展电子图书借阅、期刊赠阅、共建交流等活动。并在本馆设立上海信息管理学校实习基地，每年安排一定数量的学生到本馆岗位实习。</w:t>
      </w:r>
    </w:p>
    <w:p>
      <w:pPr>
        <w:spacing w:line="360" w:lineRule="auto"/>
        <w:ind w:firstLine="420" w:firstLineChars="200"/>
        <w:rPr>
          <w:rFonts w:ascii="宋体" w:hAnsi="宋体" w:eastAsia="宋体"/>
          <w:szCs w:val="21"/>
        </w:rPr>
      </w:pPr>
      <w:r>
        <w:rPr>
          <w:rFonts w:hint="eastAsia" w:ascii="宋体" w:hAnsi="宋体" w:eastAsia="宋体"/>
          <w:szCs w:val="21"/>
        </w:rPr>
        <w:t>与区法宣办的合作。向市民普及法律知识、开展法治宣传、提供法律事务帮助，坚持每周六1</w:t>
      </w:r>
      <w:r>
        <w:rPr>
          <w:rFonts w:ascii="宋体" w:hAnsi="宋体" w:eastAsia="宋体"/>
          <w:szCs w:val="21"/>
        </w:rPr>
        <w:t>3</w:t>
      </w:r>
      <w:r>
        <w:rPr>
          <w:rFonts w:hint="eastAsia" w:ascii="宋体" w:hAnsi="宋体" w:eastAsia="宋体"/>
          <w:szCs w:val="21"/>
        </w:rPr>
        <w:t>：0</w:t>
      </w:r>
      <w:r>
        <w:rPr>
          <w:rFonts w:ascii="宋体" w:hAnsi="宋体" w:eastAsia="宋体"/>
          <w:szCs w:val="21"/>
        </w:rPr>
        <w:t>0-15</w:t>
      </w:r>
      <w:r>
        <w:rPr>
          <w:rFonts w:hint="eastAsia" w:ascii="宋体" w:hAnsi="宋体" w:eastAsia="宋体"/>
          <w:szCs w:val="21"/>
        </w:rPr>
        <w:t>：0</w:t>
      </w:r>
      <w:r>
        <w:rPr>
          <w:rFonts w:ascii="宋体" w:hAnsi="宋体" w:eastAsia="宋体"/>
          <w:szCs w:val="21"/>
        </w:rPr>
        <w:t>0</w:t>
      </w:r>
      <w:r>
        <w:rPr>
          <w:rFonts w:hint="eastAsia" w:ascii="宋体" w:hAnsi="宋体" w:eastAsia="宋体"/>
          <w:szCs w:val="21"/>
        </w:rPr>
        <w:t>举办读者法律咨询服务。</w:t>
      </w:r>
    </w:p>
    <w:p>
      <w:pPr>
        <w:spacing w:line="360" w:lineRule="auto"/>
        <w:ind w:firstLine="420" w:firstLineChars="200"/>
        <w:rPr>
          <w:rFonts w:ascii="宋体" w:hAnsi="宋体" w:eastAsia="宋体"/>
          <w:szCs w:val="21"/>
        </w:rPr>
      </w:pPr>
      <w:r>
        <w:rPr>
          <w:rFonts w:hint="eastAsia" w:ascii="宋体" w:hAnsi="宋体" w:eastAsia="宋体"/>
          <w:szCs w:val="21"/>
        </w:rPr>
        <w:t>创建期内，社区对本馆参与区域化党建、文明共建、社区联建等工作表示非常满意，都纷纷表示将继续与本馆保持良好的共建关系，满意度1</w:t>
      </w:r>
      <w:r>
        <w:rPr>
          <w:rFonts w:ascii="宋体" w:hAnsi="宋体" w:eastAsia="宋体"/>
          <w:szCs w:val="21"/>
        </w:rPr>
        <w:t>00%</w:t>
      </w:r>
      <w:r>
        <w:rPr>
          <w:rFonts w:hint="eastAsia" w:ascii="宋体" w:hAnsi="宋体" w:eastAsia="宋体"/>
          <w:szCs w:val="21"/>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7"/>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shd w:val="clear" w:color="auto" w:fill="auto"/>
            <w:vAlign w:val="center"/>
          </w:tcPr>
          <w:p>
            <w:pPr>
              <w:adjustRightInd w:val="0"/>
              <w:snapToGrid w:val="0"/>
              <w:spacing w:line="360" w:lineRule="auto"/>
              <w:rPr>
                <w:rFonts w:asciiTheme="minorEastAsia" w:hAnsiTheme="minorEastAsia"/>
                <w:spacing w:val="8"/>
                <w:kern w:val="0"/>
                <w:szCs w:val="21"/>
              </w:rPr>
            </w:pPr>
            <w:r>
              <w:rPr>
                <w:rFonts w:hint="eastAsia" w:asciiTheme="minorEastAsia" w:hAnsiTheme="minorEastAsia"/>
                <w:spacing w:val="8"/>
                <w:kern w:val="0"/>
                <w:szCs w:val="21"/>
              </w:rPr>
              <w:drawing>
                <wp:inline distT="0" distB="0" distL="0" distR="0">
                  <wp:extent cx="2898140" cy="217360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898140" cy="2173605"/>
                          </a:xfrm>
                          <a:prstGeom prst="rect">
                            <a:avLst/>
                          </a:prstGeom>
                          <a:noFill/>
                          <a:ln>
                            <a:noFill/>
                          </a:ln>
                        </pic:spPr>
                      </pic:pic>
                    </a:graphicData>
                  </a:graphic>
                </wp:inline>
              </w:drawing>
            </w:r>
          </w:p>
        </w:tc>
        <w:tc>
          <w:tcPr>
            <w:tcW w:w="4264" w:type="dxa"/>
            <w:shd w:val="clear" w:color="auto" w:fill="auto"/>
            <w:vAlign w:val="center"/>
          </w:tcPr>
          <w:p>
            <w:pPr>
              <w:adjustRightInd w:val="0"/>
              <w:snapToGrid w:val="0"/>
              <w:spacing w:line="360" w:lineRule="auto"/>
              <w:rPr>
                <w:rFonts w:asciiTheme="minorEastAsia" w:hAnsiTheme="minorEastAsia"/>
                <w:spacing w:val="8"/>
                <w:kern w:val="0"/>
                <w:szCs w:val="21"/>
              </w:rPr>
            </w:pPr>
            <w:r>
              <w:rPr>
                <w:rFonts w:hint="eastAsia" w:asciiTheme="minorEastAsia" w:hAnsiTheme="minorEastAsia"/>
                <w:spacing w:val="8"/>
                <w:kern w:val="0"/>
                <w:szCs w:val="21"/>
              </w:rPr>
              <w:drawing>
                <wp:inline distT="0" distB="0" distL="0" distR="0">
                  <wp:extent cx="2441575" cy="1828800"/>
                  <wp:effectExtent l="0" t="0" r="0" b="0"/>
                  <wp:docPr id="61" name="图片 61" descr="35学雷锋陇西养老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5学雷锋陇西养老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41575" cy="1828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shd w:val="clear" w:color="auto" w:fill="auto"/>
            <w:vAlign w:val="center"/>
          </w:tcPr>
          <w:p>
            <w:pPr>
              <w:adjustRightInd w:val="0"/>
              <w:snapToGrid w:val="0"/>
              <w:spacing w:line="360" w:lineRule="auto"/>
              <w:jc w:val="center"/>
              <w:rPr>
                <w:rFonts w:asciiTheme="minorEastAsia" w:hAnsiTheme="minorEastAsia"/>
                <w:spacing w:val="8"/>
                <w:kern w:val="0"/>
                <w:szCs w:val="21"/>
              </w:rPr>
            </w:pPr>
            <w:r>
              <w:rPr>
                <w:rFonts w:hint="eastAsia" w:asciiTheme="minorEastAsia" w:hAnsiTheme="minorEastAsia"/>
                <w:spacing w:val="8"/>
                <w:kern w:val="0"/>
                <w:szCs w:val="21"/>
              </w:rPr>
              <w:t>参与阳光园居委党建共建志愿服务活动</w:t>
            </w:r>
          </w:p>
        </w:tc>
        <w:tc>
          <w:tcPr>
            <w:tcW w:w="4264" w:type="dxa"/>
            <w:shd w:val="clear" w:color="auto" w:fill="auto"/>
            <w:vAlign w:val="center"/>
          </w:tcPr>
          <w:p>
            <w:pPr>
              <w:adjustRightInd w:val="0"/>
              <w:snapToGrid w:val="0"/>
              <w:spacing w:line="360" w:lineRule="auto"/>
              <w:jc w:val="center"/>
              <w:rPr>
                <w:rFonts w:asciiTheme="minorEastAsia" w:hAnsiTheme="minorEastAsia"/>
                <w:spacing w:val="8"/>
                <w:kern w:val="0"/>
                <w:szCs w:val="21"/>
              </w:rPr>
            </w:pPr>
            <w:r>
              <w:rPr>
                <w:rFonts w:hint="eastAsia" w:asciiTheme="minorEastAsia" w:hAnsiTheme="minorEastAsia"/>
                <w:spacing w:val="8"/>
                <w:kern w:val="0"/>
                <w:szCs w:val="21"/>
              </w:rPr>
              <w:t>为陇西养老院文化共建：</w:t>
            </w:r>
          </w:p>
          <w:p>
            <w:pPr>
              <w:adjustRightInd w:val="0"/>
              <w:snapToGrid w:val="0"/>
              <w:spacing w:line="360" w:lineRule="auto"/>
              <w:jc w:val="center"/>
              <w:rPr>
                <w:rFonts w:asciiTheme="minorEastAsia" w:hAnsiTheme="minorEastAsia"/>
                <w:spacing w:val="8"/>
                <w:kern w:val="0"/>
                <w:szCs w:val="21"/>
              </w:rPr>
            </w:pPr>
            <w:r>
              <w:rPr>
                <w:rFonts w:hint="eastAsia" w:asciiTheme="minorEastAsia" w:hAnsiTheme="minorEastAsia"/>
                <w:spacing w:val="8"/>
                <w:kern w:val="0"/>
                <w:szCs w:val="21"/>
              </w:rPr>
              <w:t>赠送图书期刊</w:t>
            </w:r>
          </w:p>
        </w:tc>
      </w:tr>
    </w:tbl>
    <w:p>
      <w:pPr>
        <w:adjustRightInd w:val="0"/>
        <w:snapToGrid w:val="0"/>
        <w:spacing w:line="360" w:lineRule="auto"/>
        <w:rPr>
          <w:rFonts w:asciiTheme="minorEastAsia" w:hAnsiTheme="minorEastAsia"/>
          <w:spacing w:val="8"/>
          <w:kern w:val="0"/>
          <w:szCs w:val="21"/>
        </w:rPr>
      </w:pPr>
    </w:p>
    <w:p>
      <w:pPr>
        <w:spacing w:line="360" w:lineRule="auto"/>
        <w:ind w:firstLine="422" w:firstLineChars="200"/>
        <w:rPr>
          <w:rFonts w:ascii="宋体" w:hAnsi="宋体" w:eastAsia="宋体"/>
          <w:szCs w:val="21"/>
        </w:rPr>
      </w:pPr>
      <w:r>
        <w:rPr>
          <w:rFonts w:hint="eastAsia" w:asciiTheme="minorEastAsia" w:hAnsiTheme="minorEastAsia"/>
          <w:b/>
          <w:szCs w:val="21"/>
        </w:rPr>
        <w:t>2、注重志愿服务。</w:t>
      </w:r>
      <w:r>
        <w:rPr>
          <w:rFonts w:hint="eastAsia" w:asciiTheme="minorEastAsia" w:hAnsiTheme="minorEastAsia"/>
          <w:szCs w:val="21"/>
        </w:rPr>
        <w:t>作为一</w:t>
      </w:r>
      <w:r>
        <w:rPr>
          <w:rFonts w:hint="eastAsia" w:ascii="宋体" w:hAnsi="宋体" w:eastAsia="宋体"/>
          <w:szCs w:val="21"/>
        </w:rPr>
        <w:t>个公益性文化事业机构，我馆非常重视志愿服务工作，全馆职工全员注册为志愿者，员工和党员注册1</w:t>
      </w:r>
      <w:r>
        <w:rPr>
          <w:rFonts w:ascii="宋体" w:hAnsi="宋体" w:eastAsia="宋体"/>
          <w:szCs w:val="21"/>
        </w:rPr>
        <w:t>00%</w:t>
      </w:r>
      <w:r>
        <w:rPr>
          <w:rFonts w:hint="eastAsia" w:ascii="宋体" w:hAnsi="宋体" w:eastAsia="宋体"/>
          <w:szCs w:val="21"/>
        </w:rPr>
        <w:t>，创建期内参与志愿活动的员工9</w:t>
      </w:r>
      <w:r>
        <w:rPr>
          <w:rFonts w:ascii="宋体" w:hAnsi="宋体" w:eastAsia="宋体"/>
          <w:szCs w:val="21"/>
        </w:rPr>
        <w:t>5%</w:t>
      </w:r>
      <w:r>
        <w:rPr>
          <w:rFonts w:hint="eastAsia" w:ascii="宋体" w:hAnsi="宋体" w:eastAsia="宋体"/>
          <w:szCs w:val="21"/>
        </w:rPr>
        <w:t>以上。</w:t>
      </w:r>
    </w:p>
    <w:p>
      <w:pPr>
        <w:spacing w:line="360" w:lineRule="auto"/>
        <w:ind w:firstLine="420" w:firstLineChars="200"/>
        <w:rPr>
          <w:rFonts w:ascii="宋体" w:hAnsi="宋体" w:eastAsia="宋体"/>
          <w:szCs w:val="21"/>
        </w:rPr>
      </w:pPr>
      <w:r>
        <w:rPr>
          <w:rFonts w:hint="eastAsia" w:ascii="宋体" w:hAnsi="宋体" w:eastAsia="宋体"/>
          <w:szCs w:val="21"/>
        </w:rPr>
        <w:t>我们除了积极开展面向社区、监狱、部队等志愿服务活动外，本馆还积极组织“绿叶助学志愿服务队”，深入开展了各项志愿服务，主要体现在以下“四个方面”：（1）加强学校合作。主动联系中小学校，让学校组织学生参加图书馆的“小小志愿者”，倡导文明阅读。（2）实施“工学交替”。 与上海信息管理学校加强共建合作，开展“工学交替”活动。（3）组建志愿队伍。“绿叶助学”志愿队贯彻“奉献、友爱、互助、进步”的志愿服务理念，积极投入到图书馆的各项服务和活动中。（4）开展交通志愿。开展文明志愿者活动，参与文明城区建设。</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4"/>
        <w:gridCol w:w="4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shd w:val="clear" w:color="auto" w:fill="auto"/>
            <w:vAlign w:val="center"/>
          </w:tcPr>
          <w:p>
            <w:pPr>
              <w:spacing w:line="360" w:lineRule="auto"/>
              <w:rPr>
                <w:rFonts w:asciiTheme="minorEastAsia" w:hAnsiTheme="minorEastAsia"/>
                <w:szCs w:val="21"/>
              </w:rPr>
            </w:pPr>
            <w:r>
              <w:rPr>
                <w:rFonts w:hint="eastAsia" w:asciiTheme="minorEastAsia" w:hAnsiTheme="minorEastAsia"/>
                <w:szCs w:val="21"/>
              </w:rPr>
              <w:drawing>
                <wp:inline distT="0" distB="0" distL="0" distR="0">
                  <wp:extent cx="2633345" cy="1974850"/>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369" cy="1981776"/>
                          </a:xfrm>
                          <a:prstGeom prst="rect">
                            <a:avLst/>
                          </a:prstGeom>
                          <a:noFill/>
                          <a:ln>
                            <a:noFill/>
                          </a:ln>
                        </pic:spPr>
                      </pic:pic>
                    </a:graphicData>
                  </a:graphic>
                </wp:inline>
              </w:drawing>
            </w:r>
          </w:p>
        </w:tc>
        <w:tc>
          <w:tcPr>
            <w:tcW w:w="4115" w:type="dxa"/>
            <w:shd w:val="clear" w:color="auto" w:fill="auto"/>
            <w:vAlign w:val="center"/>
          </w:tcPr>
          <w:p>
            <w:pPr>
              <w:spacing w:line="360" w:lineRule="auto"/>
              <w:rPr>
                <w:rFonts w:asciiTheme="minorEastAsia" w:hAnsiTheme="minorEastAsia"/>
                <w:szCs w:val="21"/>
              </w:rPr>
            </w:pPr>
            <w:r>
              <w:rPr>
                <w:rFonts w:hint="eastAsia" w:asciiTheme="minorEastAsia" w:hAnsiTheme="minorEastAsia"/>
                <w:szCs w:val="21"/>
              </w:rPr>
              <w:drawing>
                <wp:inline distT="0" distB="0" distL="0" distR="0">
                  <wp:extent cx="2587625" cy="1932305"/>
                  <wp:effectExtent l="0" t="0" r="3175" b="0"/>
                  <wp:docPr id="56" name="图片 56" descr="阳光苑志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阳光苑志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87625" cy="1932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shd w:val="clear" w:color="auto" w:fill="auto"/>
            <w:vAlign w:val="center"/>
          </w:tcPr>
          <w:p>
            <w:pPr>
              <w:spacing w:line="360" w:lineRule="auto"/>
              <w:jc w:val="center"/>
              <w:rPr>
                <w:rFonts w:asciiTheme="minorEastAsia" w:hAnsiTheme="minorEastAsia"/>
                <w:szCs w:val="21"/>
              </w:rPr>
            </w:pPr>
            <w:r>
              <w:rPr>
                <w:rFonts w:hint="eastAsia" w:asciiTheme="minorEastAsia" w:hAnsiTheme="minorEastAsia"/>
                <w:szCs w:val="21"/>
              </w:rPr>
              <w:t>文明交通志愿活动之一</w:t>
            </w:r>
          </w:p>
        </w:tc>
        <w:tc>
          <w:tcPr>
            <w:tcW w:w="4115" w:type="dxa"/>
            <w:shd w:val="clear" w:color="auto" w:fill="auto"/>
            <w:vAlign w:val="center"/>
          </w:tcPr>
          <w:p>
            <w:pPr>
              <w:spacing w:line="360" w:lineRule="auto"/>
              <w:jc w:val="center"/>
              <w:rPr>
                <w:rFonts w:asciiTheme="minorEastAsia" w:hAnsiTheme="minorEastAsia"/>
                <w:szCs w:val="21"/>
              </w:rPr>
            </w:pPr>
            <w:r>
              <w:rPr>
                <w:rFonts w:hint="eastAsia" w:asciiTheme="minorEastAsia" w:hAnsiTheme="minorEastAsia"/>
                <w:szCs w:val="21"/>
              </w:rPr>
              <w:t>党员进社区志愿活动之一</w:t>
            </w:r>
          </w:p>
        </w:tc>
      </w:tr>
    </w:tbl>
    <w:p>
      <w:pPr>
        <w:spacing w:line="360" w:lineRule="auto"/>
        <w:ind w:firstLine="422" w:firstLineChars="200"/>
        <w:rPr>
          <w:rFonts w:ascii="宋体" w:hAnsi="宋体" w:eastAsia="宋体"/>
          <w:szCs w:val="21"/>
        </w:rPr>
      </w:pPr>
      <w:r>
        <w:rPr>
          <w:rFonts w:asciiTheme="minorEastAsia" w:hAnsiTheme="minorEastAsia"/>
          <w:b/>
          <w:szCs w:val="21"/>
        </w:rPr>
        <w:t>3</w:t>
      </w:r>
      <w:r>
        <w:rPr>
          <w:rFonts w:hint="eastAsia" w:asciiTheme="minorEastAsia" w:hAnsiTheme="minorEastAsia"/>
          <w:b/>
          <w:szCs w:val="21"/>
        </w:rPr>
        <w:t>、积极救灾捐助。</w:t>
      </w:r>
      <w:r>
        <w:rPr>
          <w:rFonts w:hint="eastAsia" w:asciiTheme="minorEastAsia" w:hAnsiTheme="minorEastAsia"/>
          <w:szCs w:val="21"/>
        </w:rPr>
        <w:t>本馆热</w:t>
      </w:r>
      <w:r>
        <w:rPr>
          <w:rFonts w:hint="eastAsia" w:ascii="宋体" w:hAnsi="宋体" w:eastAsia="宋体"/>
          <w:szCs w:val="21"/>
        </w:rPr>
        <w:t>心公益，除了在本馆提供日常的便民服务措施、提供便民用品外，还积极参与各种救灾捐助，平时还向社会各界尤其是对口扶贫地区提供力所能及的文化援助。</w:t>
      </w:r>
    </w:p>
    <w:p>
      <w:pPr>
        <w:spacing w:line="360" w:lineRule="auto"/>
        <w:ind w:firstLine="420" w:firstLineChars="200"/>
        <w:rPr>
          <w:rFonts w:ascii="宋体" w:hAnsi="宋体" w:eastAsia="宋体"/>
          <w:szCs w:val="21"/>
        </w:rPr>
      </w:pPr>
      <w:r>
        <w:rPr>
          <w:rFonts w:hint="eastAsia" w:ascii="宋体" w:hAnsi="宋体" w:eastAsia="宋体"/>
          <w:szCs w:val="21"/>
        </w:rPr>
        <w:t>（1）拥军送书。坚持每年为闵行区辖区驻地部队送书上门。</w:t>
      </w:r>
    </w:p>
    <w:p>
      <w:pPr>
        <w:spacing w:line="36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）文化援助。我馆</w:t>
      </w:r>
      <w:r>
        <w:rPr>
          <w:rFonts w:ascii="宋体" w:hAnsi="宋体" w:eastAsia="宋体"/>
          <w:szCs w:val="21"/>
        </w:rPr>
        <w:t>与闵行对外合作交流办签订了合作框架，由它们统一操作，将本馆</w:t>
      </w:r>
      <w:r>
        <w:rPr>
          <w:rFonts w:hint="eastAsia" w:ascii="宋体" w:hAnsi="宋体" w:eastAsia="宋体"/>
          <w:szCs w:val="21"/>
        </w:rPr>
        <w:t>下架的</w:t>
      </w:r>
      <w:r>
        <w:rPr>
          <w:rFonts w:ascii="宋体" w:hAnsi="宋体" w:eastAsia="宋体"/>
          <w:szCs w:val="21"/>
        </w:rPr>
        <w:t>图书，分别</w:t>
      </w:r>
      <w:r>
        <w:rPr>
          <w:rFonts w:hint="eastAsia" w:ascii="宋体" w:hAnsi="宋体" w:eastAsia="宋体"/>
          <w:szCs w:val="21"/>
        </w:rPr>
        <w:t>捐赠给</w:t>
      </w:r>
      <w:r>
        <w:rPr>
          <w:rFonts w:ascii="宋体" w:hAnsi="宋体" w:eastAsia="宋体"/>
          <w:szCs w:val="21"/>
        </w:rPr>
        <w:t>新疆和云南</w:t>
      </w:r>
      <w:r>
        <w:rPr>
          <w:rFonts w:hint="eastAsia" w:ascii="宋体" w:hAnsi="宋体" w:eastAsia="宋体"/>
          <w:szCs w:val="21"/>
        </w:rPr>
        <w:t>对口扶贫地区</w:t>
      </w:r>
      <w:r>
        <w:rPr>
          <w:rFonts w:ascii="宋体" w:hAnsi="宋体" w:eastAsia="宋体"/>
          <w:szCs w:val="21"/>
        </w:rPr>
        <w:t>进行文化援助。</w:t>
      </w:r>
    </w:p>
    <w:p>
      <w:pPr>
        <w:adjustRightInd w:val="0"/>
        <w:snapToGrid w:val="0"/>
        <w:spacing w:line="360" w:lineRule="auto"/>
        <w:ind w:firstLine="412" w:firstLineChars="196"/>
        <w:rPr>
          <w:rFonts w:ascii="微软雅黑" w:hAnsi="微软雅黑" w:eastAsia="微软雅黑"/>
          <w:b/>
          <w:szCs w:val="21"/>
        </w:rPr>
      </w:pPr>
      <w:r>
        <w:rPr>
          <w:rFonts w:hint="eastAsia" w:ascii="微软雅黑" w:hAnsi="微软雅黑" w:eastAsia="微软雅黑"/>
          <w:b/>
          <w:szCs w:val="21"/>
        </w:rPr>
        <w:t>（四）积极倡导厉行节约，展现绿色文明形象</w:t>
      </w:r>
    </w:p>
    <w:p>
      <w:pPr>
        <w:adjustRightInd w:val="0"/>
        <w:snapToGrid w:val="0"/>
        <w:spacing w:line="360" w:lineRule="auto"/>
        <w:ind w:firstLine="525" w:firstLineChars="249"/>
        <w:rPr>
          <w:rFonts w:asciiTheme="minorEastAsia" w:hAnsiTheme="minorEastAsia"/>
          <w:spacing w:val="8"/>
          <w:kern w:val="0"/>
          <w:szCs w:val="21"/>
        </w:rPr>
      </w:pPr>
      <w:r>
        <w:rPr>
          <w:rFonts w:hint="eastAsia" w:asciiTheme="minorEastAsia" w:hAnsiTheme="minorEastAsia"/>
          <w:b/>
          <w:szCs w:val="21"/>
        </w:rPr>
        <w:t>1、加强环境管理。</w:t>
      </w:r>
      <w:r>
        <w:rPr>
          <w:rFonts w:hint="eastAsia" w:asciiTheme="minorEastAsia" w:hAnsiTheme="minorEastAsia"/>
          <w:szCs w:val="21"/>
        </w:rPr>
        <w:t>营造绿色环境是每一个公民的职责。每年，我馆与上级主管部门签订《爱国卫生目标责任书》，同时根据《闵行区图书馆卫生防疫制度》、《闵行区图书馆应急处置办法》等规章制度，在环境优化方面做到管理严格、措施到位。</w:t>
      </w:r>
    </w:p>
    <w:p>
      <w:pPr>
        <w:spacing w:line="360" w:lineRule="auto"/>
        <w:ind w:firstLine="525" w:firstLineChars="249"/>
        <w:rPr>
          <w:rFonts w:asciiTheme="minorEastAsia" w:hAnsiTheme="minorEastAsia"/>
          <w:szCs w:val="21"/>
        </w:rPr>
      </w:pPr>
      <w:r>
        <w:rPr>
          <w:rFonts w:hint="eastAsia" w:asciiTheme="minorEastAsia" w:hAnsiTheme="minorEastAsia"/>
          <w:b/>
          <w:szCs w:val="21"/>
        </w:rPr>
        <w:t>2、倡导低碳节能。</w:t>
      </w:r>
      <w:r>
        <w:rPr>
          <w:rFonts w:hint="eastAsia" w:asciiTheme="minorEastAsia" w:hAnsiTheme="minorEastAsia"/>
          <w:szCs w:val="21"/>
        </w:rPr>
        <w:t>积极创建节约型单位，制定《闵行区图书馆关于厉行节约的具体措施》，通过开展环保宣传、环境整治、节水节电、抵制白色污染等实践活动。倡导“多爬楼梯锻炼身体，少乘电梯低碳节能”环保意识，开设“闵图文明之窗”办公管理网站，实行“无纸化办公”，制作绿色环保布袋供读者使用，增强了员工环保责任，环保管理工作得有序推进。</w:t>
      </w:r>
    </w:p>
    <w:p>
      <w:pPr>
        <w:spacing w:line="360" w:lineRule="auto"/>
        <w:ind w:firstLine="422" w:firstLineChars="200"/>
        <w:rPr>
          <w:rFonts w:hint="eastAsia" w:ascii="宋体" w:hAnsi="宋体" w:eastAsia="宋体"/>
          <w:szCs w:val="21"/>
        </w:rPr>
      </w:pPr>
      <w:r>
        <w:rPr>
          <w:rFonts w:hint="eastAsia" w:asciiTheme="minorEastAsia" w:hAnsiTheme="minorEastAsia"/>
          <w:b/>
          <w:szCs w:val="21"/>
        </w:rPr>
        <w:t>3、树立环保形象。</w:t>
      </w:r>
      <w:r>
        <w:rPr>
          <w:rFonts w:hint="eastAsia" w:asciiTheme="minorEastAsia" w:hAnsiTheme="minorEastAsia"/>
          <w:szCs w:val="21"/>
        </w:rPr>
        <w:t>2010年搬入新馆时，经环保部门专业检测，新图书馆内部环境检测指标完全合格。近几年在环境保护方面，无任何不</w:t>
      </w:r>
      <w:r>
        <w:rPr>
          <w:rFonts w:hint="eastAsia" w:ascii="宋体" w:hAnsi="宋体" w:eastAsia="宋体"/>
          <w:szCs w:val="21"/>
        </w:rPr>
        <w:t>良记录。本馆认真贯彻落实《上海市控烟条例》，在馆区张贴禁烟标志，营造宣传氛围，严禁员工和读者在馆区吸烟，积极创建无烟单位。物业保洁人员工作负责到位，实行垃圾分类集中处理，环境、卫生达标，全馆职工为塑造闵图环保良好形象发挥应有作用。</w:t>
      </w:r>
    </w:p>
    <w:p>
      <w:pPr>
        <w:spacing w:line="360" w:lineRule="auto"/>
        <w:ind w:firstLine="420" w:firstLineChars="200"/>
        <w:rPr>
          <w:rFonts w:hint="eastAsia" w:ascii="宋体" w:hAnsi="宋体" w:eastAsia="宋体"/>
          <w:szCs w:val="21"/>
        </w:rPr>
      </w:pPr>
    </w:p>
    <w:p>
      <w:pPr>
        <w:spacing w:line="360" w:lineRule="auto"/>
        <w:ind w:firstLine="420" w:firstLineChars="200"/>
        <w:rPr>
          <w:rFonts w:ascii="宋体" w:hAnsi="宋体" w:eastAsia="宋体"/>
          <w:szCs w:val="21"/>
        </w:rPr>
      </w:pPr>
    </w:p>
    <w:p>
      <w:pPr>
        <w:spacing w:line="360" w:lineRule="auto"/>
        <w:jc w:val="center"/>
        <w:rPr>
          <w:rFonts w:asciiTheme="minorEastAsia" w:hAnsiTheme="minorEastAsia"/>
          <w:szCs w:val="21"/>
        </w:rPr>
      </w:pPr>
      <w:r>
        <w:rPr>
          <w:rFonts w:hint="eastAsia" w:ascii="微软雅黑" w:hAnsi="微软雅黑" w:eastAsia="微软雅黑"/>
          <w:b/>
          <w:sz w:val="24"/>
          <w:szCs w:val="24"/>
        </w:rPr>
        <w:t>五、工作人员及工作培训</w:t>
      </w:r>
    </w:p>
    <w:p>
      <w:pPr>
        <w:spacing w:line="360" w:lineRule="auto"/>
        <w:rPr>
          <w:rFonts w:asciiTheme="minorEastAsia" w:hAnsiTheme="minorEastAsia"/>
          <w:szCs w:val="21"/>
        </w:rPr>
      </w:pPr>
    </w:p>
    <w:p>
      <w:pPr>
        <w:spacing w:line="360" w:lineRule="auto"/>
        <w:rPr>
          <w:rFonts w:ascii="微软雅黑" w:hAnsi="微软雅黑" w:eastAsia="微软雅黑"/>
          <w:b/>
          <w:szCs w:val="21"/>
        </w:rPr>
      </w:pPr>
      <w:r>
        <w:rPr>
          <w:rFonts w:hint="eastAsia" w:ascii="微软雅黑" w:hAnsi="微软雅黑" w:eastAsia="微软雅黑"/>
          <w:b/>
          <w:szCs w:val="21"/>
        </w:rPr>
        <w:t>1. 基础信息</w:t>
      </w:r>
    </w:p>
    <w:p>
      <w:pPr>
        <w:spacing w:line="360" w:lineRule="auto"/>
        <w:rPr>
          <w:rFonts w:ascii="宋体" w:hAnsi="宋体" w:eastAsia="宋体"/>
          <w:szCs w:val="21"/>
        </w:rPr>
      </w:pPr>
      <w:r>
        <w:rPr>
          <w:rFonts w:hint="eastAsia" w:ascii="宋体" w:hAnsi="宋体" w:eastAsia="宋体"/>
          <w:szCs w:val="21"/>
        </w:rPr>
        <w:t>图书馆工作人员共64人；专业技术人才48人，其中中级职称26人，副高级职称5人，高级职称0人。</w:t>
      </w:r>
    </w:p>
    <w:p>
      <w:pPr>
        <w:spacing w:line="360" w:lineRule="auto"/>
        <w:rPr>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2．机构设置</w:t>
      </w:r>
    </w:p>
    <w:p>
      <w:pPr>
        <w:spacing w:line="360" w:lineRule="auto"/>
        <w:rPr>
          <w:szCs w:val="21"/>
        </w:rPr>
      </w:pPr>
      <w:r>
        <w:rPr>
          <w:rFonts w:hint="eastAsia" w:ascii="宋体" w:hAnsi="宋体"/>
          <w:b/>
          <w:sz w:val="24"/>
        </w:rPr>
        <w:drawing>
          <wp:inline distT="0" distB="0" distL="0" distR="0">
            <wp:extent cx="3667125" cy="2600325"/>
            <wp:effectExtent l="0" t="0" r="9525" b="9525"/>
            <wp:docPr id="17" name="图片 17" descr="闵行区图书馆组织机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闵行区图书馆组织机构图"/>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3791" b="96998" l="688" r="98212">
                                  <a14:foregroundMark x1="17607" y1="23381" x2="17607" y2="0"/>
                                  <a14:foregroundMark x1="6740" y1="22749" x2="6740" y2="0"/>
                                  <a14:foregroundMark x1="2338" y1="22749" x2="2338" y2="0"/>
                                  <a14:foregroundMark x1="5777" y1="38073" x2="5777" y2="0"/>
                                  <a14:foregroundMark x1="825" y1="36967" x2="825" y2="0"/>
                                  <a14:foregroundMark x1="51169" y1="4423" x2="51169" y2="0"/>
                                  <a14:foregroundMark x1="94773" y1="23381" x2="94773" y2="0"/>
                                  <a14:foregroundMark x1="98212" y1="23065" x2="98212" y2="0"/>
                                  <a14:foregroundMark x1="67263" y1="94155" x2="67263" y2="0"/>
                                  <a14:foregroundMark x1="65750" y1="96998" x2="65750"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3667125" cy="2600325"/>
                    </a:xfrm>
                    <a:prstGeom prst="rect">
                      <a:avLst/>
                    </a:prstGeom>
                    <a:noFill/>
                    <a:ln>
                      <a:noFill/>
                    </a:ln>
                  </pic:spPr>
                </pic:pic>
              </a:graphicData>
            </a:graphic>
          </wp:inline>
        </w:drawing>
      </w:r>
    </w:p>
    <w:p>
      <w:pPr>
        <w:spacing w:line="360" w:lineRule="auto"/>
        <w:rPr>
          <w:szCs w:val="21"/>
        </w:rPr>
      </w:pPr>
    </w:p>
    <w:p>
      <w:pPr>
        <w:spacing w:line="360" w:lineRule="auto"/>
        <w:rPr>
          <w:rFonts w:ascii="微软雅黑" w:hAnsi="微软雅黑" w:eastAsia="微软雅黑"/>
          <w:b/>
          <w:szCs w:val="21"/>
        </w:rPr>
      </w:pPr>
      <w:r>
        <w:rPr>
          <w:rFonts w:hint="eastAsia" w:ascii="微软雅黑" w:hAnsi="微软雅黑" w:eastAsia="微软雅黑"/>
          <w:b/>
          <w:szCs w:val="21"/>
        </w:rPr>
        <w:t>3. 工作培训</w:t>
      </w:r>
    </w:p>
    <w:p>
      <w:pPr>
        <w:spacing w:line="360" w:lineRule="auto"/>
        <w:rPr>
          <w:rFonts w:ascii="宋体" w:hAnsi="宋体" w:eastAsia="宋体"/>
          <w:szCs w:val="21"/>
        </w:rPr>
      </w:pPr>
      <w:r>
        <w:rPr>
          <w:rFonts w:hint="eastAsia" w:ascii="宋体" w:hAnsi="宋体" w:eastAsia="宋体"/>
          <w:szCs w:val="21"/>
        </w:rPr>
        <w:t>二〇一八本单位参加基层培训辅导人次431人次，本单位受训49人，共计</w:t>
      </w:r>
      <w:r>
        <w:rPr>
          <w:rFonts w:ascii="宋体" w:hAnsi="宋体" w:eastAsia="宋体"/>
          <w:szCs w:val="21"/>
        </w:rPr>
        <w:t>1310</w:t>
      </w:r>
      <w:r>
        <w:rPr>
          <w:rFonts w:hint="eastAsia" w:ascii="宋体" w:hAnsi="宋体" w:eastAsia="宋体"/>
          <w:szCs w:val="21"/>
        </w:rPr>
        <w:t>个学时。</w:t>
      </w:r>
    </w:p>
    <w:p>
      <w:pPr>
        <w:spacing w:line="360" w:lineRule="auto"/>
        <w:rPr>
          <w:rFonts w:ascii="宋体" w:hAnsi="宋体" w:cs="宋体"/>
          <w:szCs w:val="21"/>
        </w:rPr>
      </w:pPr>
    </w:p>
    <w:p>
      <w:pPr>
        <w:spacing w:line="360" w:lineRule="auto"/>
        <w:rPr>
          <w:rFonts w:ascii="微软雅黑" w:hAnsi="微软雅黑" w:eastAsia="微软雅黑"/>
          <w:b/>
          <w:szCs w:val="21"/>
        </w:rPr>
      </w:pPr>
      <w:r>
        <w:rPr>
          <w:rFonts w:hint="eastAsia" w:ascii="微软雅黑" w:hAnsi="微软雅黑" w:eastAsia="微软雅黑"/>
          <w:b/>
          <w:szCs w:val="21"/>
        </w:rPr>
        <w:t>4. 志愿者</w:t>
      </w:r>
    </w:p>
    <w:p>
      <w:pPr>
        <w:spacing w:line="360" w:lineRule="auto"/>
        <w:rPr>
          <w:rFonts w:ascii="宋体" w:hAnsi="宋体" w:eastAsia="宋体"/>
          <w:szCs w:val="21"/>
        </w:rPr>
      </w:pPr>
      <w:r>
        <w:rPr>
          <w:rFonts w:hint="eastAsia" w:ascii="宋体" w:hAnsi="宋体" w:eastAsia="宋体"/>
          <w:szCs w:val="21"/>
        </w:rPr>
        <w:t>本馆志愿者队伍为“绿叶助学志愿队”，有1094位志愿者参与，总计服务时间8101小时。</w:t>
      </w: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六、 场地面积及设施建设</w:t>
      </w:r>
    </w:p>
    <w:p>
      <w:pPr>
        <w:spacing w:line="360" w:lineRule="auto"/>
        <w:rPr>
          <w:rFonts w:ascii="微软雅黑" w:hAnsi="微软雅黑" w:eastAsia="微软雅黑"/>
          <w:b/>
          <w:szCs w:val="21"/>
        </w:rPr>
      </w:pPr>
      <w:r>
        <w:rPr>
          <w:rFonts w:hint="eastAsia" w:ascii="微软雅黑" w:hAnsi="微软雅黑" w:eastAsia="微软雅黑"/>
          <w:b/>
          <w:szCs w:val="21"/>
        </w:rPr>
        <w:t>1. 面积汇总</w:t>
      </w:r>
    </w:p>
    <w:tbl>
      <w:tblPr>
        <w:tblStyle w:val="8"/>
        <w:tblW w:w="6060" w:type="dxa"/>
        <w:jc w:val="center"/>
        <w:tblLayout w:type="autofit"/>
        <w:tblCellMar>
          <w:top w:w="0" w:type="dxa"/>
          <w:left w:w="108" w:type="dxa"/>
          <w:bottom w:w="0" w:type="dxa"/>
          <w:right w:w="108" w:type="dxa"/>
        </w:tblCellMar>
      </w:tblPr>
      <w:tblGrid>
        <w:gridCol w:w="724"/>
        <w:gridCol w:w="2476"/>
        <w:gridCol w:w="1780"/>
        <w:gridCol w:w="10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序号</w:t>
            </w:r>
          </w:p>
        </w:tc>
        <w:tc>
          <w:tcPr>
            <w:tcW w:w="4256" w:type="dxa"/>
            <w:gridSpan w:val="2"/>
            <w:tcBorders>
              <w:top w:val="single" w:color="auto" w:sz="8"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10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面积</w:t>
            </w:r>
          </w:p>
        </w:tc>
      </w:tr>
      <w:tr>
        <w:tblPrEx>
          <w:tblCellMar>
            <w:top w:w="0" w:type="dxa"/>
            <w:left w:w="108" w:type="dxa"/>
            <w:bottom w:w="0" w:type="dxa"/>
            <w:right w:w="108" w:type="dxa"/>
          </w:tblCellMar>
        </w:tblPrEx>
        <w:trPr>
          <w:trHeight w:val="285" w:hRule="atLeast"/>
          <w:jc w:val="center"/>
        </w:trPr>
        <w:tc>
          <w:tcPr>
            <w:tcW w:w="724" w:type="dxa"/>
            <w:vMerge w:val="restart"/>
            <w:tcBorders>
              <w:top w:val="nil"/>
              <w:left w:val="single" w:color="auto" w:sz="8"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w:t>
            </w:r>
          </w:p>
        </w:tc>
        <w:tc>
          <w:tcPr>
            <w:tcW w:w="4256" w:type="dxa"/>
            <w:gridSpan w:val="2"/>
            <w:tcBorders>
              <w:top w:val="single" w:color="auto" w:sz="4"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读者分区面积</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8,152</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restar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其中：阅览室面积</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报刊阅览室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410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少儿借阅室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727</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图书借阅室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1542</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综合阅览室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970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春申文化阅览室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298</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古籍阅览室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116</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外文阅览室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160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非物质文化遗产阅览室</w:t>
            </w:r>
          </w:p>
        </w:tc>
        <w:tc>
          <w:tcPr>
            <w:tcW w:w="10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93</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公共电子阅览室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270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视障阅览室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47</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4256" w:type="dxa"/>
            <w:gridSpan w:val="2"/>
            <w:tcBorders>
              <w:top w:val="single" w:color="auto" w:sz="4"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实际使用房屋建筑面积</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15,518</w:t>
            </w:r>
          </w:p>
        </w:tc>
      </w:tr>
      <w:tr>
        <w:tblPrEx>
          <w:tblCellMar>
            <w:top w:w="0" w:type="dxa"/>
            <w:left w:w="108" w:type="dxa"/>
            <w:bottom w:w="0" w:type="dxa"/>
            <w:right w:w="108" w:type="dxa"/>
          </w:tblCellMar>
        </w:tblPrEx>
        <w:trPr>
          <w:trHeight w:val="300" w:hRule="atLeast"/>
          <w:jc w:val="center"/>
        </w:trPr>
        <w:tc>
          <w:tcPr>
            <w:tcW w:w="724" w:type="dxa"/>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w:t>
            </w:r>
          </w:p>
        </w:tc>
        <w:tc>
          <w:tcPr>
            <w:tcW w:w="4256" w:type="dxa"/>
            <w:gridSpan w:val="2"/>
            <w:tcBorders>
              <w:top w:val="single" w:color="auto" w:sz="4" w:space="0"/>
              <w:left w:val="nil"/>
              <w:bottom w:val="single" w:color="auto" w:sz="8"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实际拥有产权面积</w:t>
            </w:r>
          </w:p>
        </w:tc>
        <w:tc>
          <w:tcPr>
            <w:tcW w:w="10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0</w:t>
            </w:r>
          </w:p>
        </w:tc>
      </w:tr>
    </w:tbl>
    <w:p>
      <w:pPr>
        <w:spacing w:line="360" w:lineRule="auto"/>
        <w:rPr>
          <w:rFonts w:ascii="宋体" w:hAnsi="宋体"/>
          <w:b/>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 阅览室坐席数</w:t>
      </w:r>
    </w:p>
    <w:tbl>
      <w:tblPr>
        <w:tblStyle w:val="8"/>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序号</w:t>
            </w:r>
          </w:p>
        </w:tc>
        <w:tc>
          <w:tcPr>
            <w:tcW w:w="2476" w:type="dxa"/>
            <w:tcBorders>
              <w:top w:val="single" w:color="auto" w:sz="8"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17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数量</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ascii="宋体" w:hAnsi="宋体" w:eastAsia="宋体" w:cs="Tahoma"/>
                <w:color w:val="000000"/>
              </w:rPr>
              <w:t>1</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报刊阅览室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160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ascii="宋体" w:hAnsi="宋体" w:eastAsia="宋体" w:cs="Tahoma"/>
                <w:color w:val="000000"/>
              </w:rPr>
              <w:t>2</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少儿阅览室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3</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图书阅览室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228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4</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综合阅览室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164</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5</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春申文化阅览室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26</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6</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古籍阅览室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15</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7</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外文阅览室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8</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视听室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40</w:t>
            </w:r>
          </w:p>
        </w:tc>
      </w:tr>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9</w:t>
            </w:r>
          </w:p>
        </w:tc>
        <w:tc>
          <w:tcPr>
            <w:tcW w:w="2476"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非物质文化遗产阅览室</w:t>
            </w:r>
          </w:p>
        </w:tc>
        <w:tc>
          <w:tcPr>
            <w:tcW w:w="178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w:t>
            </w:r>
          </w:p>
        </w:tc>
      </w:tr>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10</w:t>
            </w:r>
          </w:p>
        </w:tc>
        <w:tc>
          <w:tcPr>
            <w:tcW w:w="2476"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公共电子阅览室</w:t>
            </w:r>
          </w:p>
        </w:tc>
        <w:tc>
          <w:tcPr>
            <w:tcW w:w="178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11</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自修室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12</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视障阅览室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13</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计算机培训室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14</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城市书房（闵图馆）</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40</w:t>
            </w:r>
          </w:p>
        </w:tc>
      </w:tr>
      <w:tr>
        <w:tblPrEx>
          <w:tblCellMar>
            <w:top w:w="0" w:type="dxa"/>
            <w:left w:w="108" w:type="dxa"/>
            <w:bottom w:w="0" w:type="dxa"/>
            <w:right w:w="108" w:type="dxa"/>
          </w:tblCellMar>
        </w:tblPrEx>
        <w:trPr>
          <w:trHeight w:val="300" w:hRule="atLeast"/>
          <w:jc w:val="center"/>
        </w:trPr>
        <w:tc>
          <w:tcPr>
            <w:tcW w:w="3200" w:type="dxa"/>
            <w:gridSpan w:val="2"/>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eastAsia="宋体" w:cs="Tahoma"/>
                <w:color w:val="000000"/>
                <w:szCs w:val="21"/>
              </w:rPr>
            </w:pPr>
            <w:r>
              <w:rPr>
                <w:rFonts w:eastAsia="宋体" w:cs="Tahoma"/>
                <w:color w:val="000000"/>
                <w:szCs w:val="21"/>
              </w:rPr>
              <w:t>　</w:t>
            </w:r>
            <w:r>
              <w:rPr>
                <w:rFonts w:hint="eastAsia" w:ascii="宋体" w:hAnsi="宋体" w:eastAsia="宋体" w:cs="Tahoma"/>
                <w:color w:val="000000"/>
                <w:szCs w:val="21"/>
              </w:rPr>
              <w:t>共计</w:t>
            </w:r>
          </w:p>
        </w:tc>
        <w:tc>
          <w:tcPr>
            <w:tcW w:w="17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1073</w:t>
            </w:r>
          </w:p>
        </w:tc>
      </w:tr>
    </w:tbl>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r>
        <w:rPr>
          <w:rFonts w:hint="eastAsia" w:ascii="微软雅黑" w:hAnsi="微软雅黑" w:eastAsia="微软雅黑"/>
          <w:b/>
          <w:szCs w:val="21"/>
        </w:rPr>
        <w:t>3. 触摸媒体：</w:t>
      </w:r>
    </w:p>
    <w:tbl>
      <w:tblPr>
        <w:tblStyle w:val="8"/>
        <w:tblW w:w="4363" w:type="dxa"/>
        <w:jc w:val="center"/>
        <w:tblLayout w:type="autofit"/>
        <w:tblCellMar>
          <w:top w:w="0" w:type="dxa"/>
          <w:left w:w="108" w:type="dxa"/>
          <w:bottom w:w="0" w:type="dxa"/>
          <w:right w:w="108" w:type="dxa"/>
        </w:tblCellMar>
      </w:tblPr>
      <w:tblGrid>
        <w:gridCol w:w="2992"/>
        <w:gridCol w:w="1371"/>
      </w:tblGrid>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类  型</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数量（台）</w:t>
            </w:r>
          </w:p>
        </w:tc>
      </w:tr>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自助借还机</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书目查询机</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楼宇电视</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绘本电子书点读机（少儿）</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2</w:t>
            </w:r>
          </w:p>
        </w:tc>
      </w:tr>
      <w:tr>
        <w:tblPrEx>
          <w:tblCellMar>
            <w:top w:w="0" w:type="dxa"/>
            <w:left w:w="108" w:type="dxa"/>
            <w:bottom w:w="0" w:type="dxa"/>
            <w:right w:w="108" w:type="dxa"/>
          </w:tblCellMar>
        </w:tblPrEx>
        <w:trPr>
          <w:trHeight w:val="219"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电子书借阅机</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cs="Tahoma" w:asciiTheme="minorEastAsia" w:hAnsiTheme="minorEastAsia"/>
              </w:rPr>
              <w:t>1</w:t>
            </w:r>
          </w:p>
        </w:tc>
      </w:tr>
      <w:tr>
        <w:tblPrEx>
          <w:tblCellMar>
            <w:top w:w="0" w:type="dxa"/>
            <w:left w:w="108" w:type="dxa"/>
            <w:bottom w:w="0" w:type="dxa"/>
            <w:right w:w="108" w:type="dxa"/>
          </w:tblCellMar>
        </w:tblPrEx>
        <w:trPr>
          <w:trHeight w:val="300" w:hRule="atLeast"/>
          <w:jc w:val="center"/>
        </w:trPr>
        <w:tc>
          <w:tcPr>
            <w:tcW w:w="2992" w:type="dxa"/>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数字书刊借阅机</w:t>
            </w:r>
          </w:p>
        </w:tc>
        <w:tc>
          <w:tcPr>
            <w:tcW w:w="1371"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cs="Tahoma" w:asciiTheme="minorEastAsia" w:hAnsiTheme="minorEastAsia"/>
              </w:rPr>
              <w:t>1</w:t>
            </w:r>
          </w:p>
        </w:tc>
      </w:tr>
    </w:tbl>
    <w:p>
      <w:pPr>
        <w:spacing w:line="360" w:lineRule="auto"/>
        <w:rPr>
          <w:rFonts w:ascii="微软雅黑" w:hAnsi="微软雅黑" w:eastAsia="微软雅黑"/>
          <w:b/>
          <w:szCs w:val="21"/>
        </w:rPr>
      </w:pPr>
    </w:p>
    <w:p>
      <w:pPr>
        <w:spacing w:line="360" w:lineRule="auto"/>
        <w:rPr>
          <w:rFonts w:asciiTheme="minorEastAsia" w:hAnsiTheme="minorEastAsia"/>
          <w:b/>
          <w:szCs w:val="21"/>
        </w:rPr>
      </w:pPr>
      <w:r>
        <w:rPr>
          <w:rFonts w:hint="eastAsia" w:ascii="微软雅黑" w:hAnsi="微软雅黑" w:eastAsia="微软雅黑"/>
          <w:b/>
          <w:szCs w:val="21"/>
        </w:rPr>
        <w:t>4. 读者服务区无线网络覆盖率：</w:t>
      </w:r>
      <w:r>
        <w:rPr>
          <w:rFonts w:hint="eastAsia" w:cs="宋体" w:asciiTheme="minorEastAsia" w:hAnsiTheme="minorEastAsia"/>
          <w:color w:val="000000"/>
          <w:szCs w:val="21"/>
        </w:rPr>
        <w:t>100%</w:t>
      </w:r>
    </w:p>
    <w:p>
      <w:pPr>
        <w:spacing w:line="360" w:lineRule="auto"/>
        <w:rPr>
          <w:rFonts w:cs="宋体" w:asciiTheme="minorEastAsia" w:hAnsiTheme="minorEastAsia"/>
          <w:color w:val="000000"/>
          <w:szCs w:val="21"/>
        </w:rPr>
      </w:pPr>
      <w:r>
        <w:rPr>
          <w:rFonts w:hint="eastAsia" w:ascii="微软雅黑" w:hAnsi="微软雅黑" w:eastAsia="微软雅黑"/>
          <w:b/>
          <w:szCs w:val="21"/>
        </w:rPr>
        <w:t>5. 网络带宽：</w:t>
      </w:r>
      <w:r>
        <w:rPr>
          <w:rFonts w:hint="eastAsia" w:cs="宋体" w:asciiTheme="minorEastAsia" w:hAnsiTheme="minorEastAsia"/>
          <w:color w:val="000000"/>
          <w:szCs w:val="21"/>
        </w:rPr>
        <w:t>东方有线宽带300M，电信宽带300M</w:t>
      </w:r>
    </w:p>
    <w:p>
      <w:pPr>
        <w:spacing w:line="360" w:lineRule="auto"/>
        <w:rPr>
          <w:rFonts w:ascii="微软雅黑" w:hAnsi="微软雅黑" w:eastAsia="微软雅黑"/>
          <w:b/>
          <w:szCs w:val="21"/>
        </w:rPr>
      </w:pPr>
      <w:r>
        <w:rPr>
          <w:rFonts w:hint="eastAsia" w:ascii="微软雅黑" w:hAnsi="微软雅黑" w:eastAsia="微软雅黑"/>
          <w:b/>
          <w:szCs w:val="21"/>
        </w:rPr>
        <w:t>6. 存储容量：</w:t>
      </w:r>
    </w:p>
    <w:p>
      <w:pPr>
        <w:spacing w:line="360" w:lineRule="auto"/>
        <w:ind w:firstLine="315" w:firstLineChars="150"/>
        <w:rPr>
          <w:rFonts w:ascii="宋体" w:hAnsi="宋体"/>
          <w:b/>
          <w:szCs w:val="21"/>
        </w:rPr>
      </w:pPr>
      <w:r>
        <w:rPr>
          <w:rFonts w:hint="eastAsia" w:ascii="微软雅黑" w:hAnsi="微软雅黑" w:eastAsia="微软雅黑"/>
          <w:b/>
          <w:szCs w:val="21"/>
        </w:rPr>
        <w:t>物理存储容量：</w:t>
      </w:r>
      <w:r>
        <w:rPr>
          <w:rFonts w:hint="eastAsia" w:cs="宋体" w:asciiTheme="minorEastAsia" w:hAnsiTheme="minorEastAsia"/>
          <w:color w:val="000000"/>
          <w:szCs w:val="21"/>
        </w:rPr>
        <w:t>51.96T</w:t>
      </w:r>
    </w:p>
    <w:p>
      <w:pPr>
        <w:spacing w:line="360" w:lineRule="auto"/>
        <w:ind w:firstLine="315" w:firstLineChars="150"/>
        <w:rPr>
          <w:rFonts w:cs="宋体" w:asciiTheme="minorEastAsia" w:hAnsiTheme="minorEastAsia"/>
          <w:color w:val="000000"/>
          <w:szCs w:val="21"/>
        </w:rPr>
      </w:pPr>
      <w:r>
        <w:rPr>
          <w:rFonts w:hint="eastAsia" w:ascii="微软雅黑" w:hAnsi="微软雅黑" w:eastAsia="微软雅黑"/>
          <w:b/>
          <w:szCs w:val="21"/>
        </w:rPr>
        <w:t>实际可用容量：</w:t>
      </w:r>
      <w:r>
        <w:rPr>
          <w:rFonts w:hint="eastAsia" w:cs="宋体" w:asciiTheme="minorEastAsia" w:hAnsiTheme="minorEastAsia"/>
          <w:color w:val="000000"/>
          <w:szCs w:val="21"/>
        </w:rPr>
        <w:t>39.39T</w:t>
      </w: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七、 馆藏统计</w:t>
      </w:r>
    </w:p>
    <w:p>
      <w:pPr>
        <w:spacing w:line="360" w:lineRule="auto"/>
        <w:ind w:firstLine="480"/>
        <w:jc w:val="center"/>
        <w:rPr>
          <w:b/>
          <w:sz w:val="24"/>
          <w:szCs w:val="24"/>
        </w:rPr>
      </w:pPr>
    </w:p>
    <w:p>
      <w:pPr>
        <w:spacing w:line="360" w:lineRule="auto"/>
        <w:rPr>
          <w:rFonts w:ascii="微软雅黑" w:hAnsi="微软雅黑" w:eastAsia="微软雅黑"/>
          <w:szCs w:val="21"/>
        </w:rPr>
      </w:pPr>
      <w:r>
        <w:rPr>
          <w:rFonts w:hint="eastAsia" w:ascii="微软雅黑" w:hAnsi="微软雅黑" w:eastAsia="微软雅黑"/>
          <w:b/>
          <w:szCs w:val="21"/>
        </w:rPr>
        <w:t>1. 图书及视听文献藏量</w:t>
      </w:r>
    </w:p>
    <w:tbl>
      <w:tblPr>
        <w:tblStyle w:val="8"/>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品 种</w:t>
            </w:r>
          </w:p>
        </w:tc>
        <w:tc>
          <w:tcPr>
            <w:tcW w:w="1780"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藏量（册）</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图书</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,399,663</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其中：开架书刊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,008,540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少儿文献</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51,289</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古籍</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9,843</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3</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报纸、期刊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15,124</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4</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视听文献</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7,905</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eastAsia="宋体" w:cs="Tahoma"/>
              </w:rPr>
            </w:pPr>
            <w:r>
              <w:rPr>
                <w:rFonts w:eastAsia="宋体" w:cs="Tahoma"/>
              </w:rPr>
              <w:t>　</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总藏量</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,417,411</w:t>
            </w:r>
          </w:p>
        </w:tc>
      </w:tr>
    </w:tbl>
    <w:p>
      <w:pPr>
        <w:spacing w:line="360" w:lineRule="auto"/>
        <w:rPr>
          <w:rFonts w:ascii="宋体" w:hAnsi="宋体" w:eastAsia="宋体" w:cs="宋体"/>
          <w:b/>
          <w:bCs/>
          <w:color w:val="000000"/>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 二〇一八年新增馆藏</w:t>
      </w:r>
    </w:p>
    <w:tbl>
      <w:tblPr>
        <w:tblStyle w:val="8"/>
        <w:tblW w:w="4100" w:type="dxa"/>
        <w:jc w:val="center"/>
        <w:tblLayout w:type="autofit"/>
        <w:tblCellMar>
          <w:top w:w="0" w:type="dxa"/>
          <w:left w:w="108" w:type="dxa"/>
          <w:bottom w:w="0" w:type="dxa"/>
          <w:right w:w="108" w:type="dxa"/>
        </w:tblCellMar>
      </w:tblPr>
      <w:tblGrid>
        <w:gridCol w:w="880"/>
        <w:gridCol w:w="1080"/>
        <w:gridCol w:w="1070"/>
        <w:gridCol w:w="1070"/>
      </w:tblGrid>
      <w:tr>
        <w:tblPrEx>
          <w:tblCellMar>
            <w:top w:w="0" w:type="dxa"/>
            <w:left w:w="108" w:type="dxa"/>
            <w:bottom w:w="0" w:type="dxa"/>
            <w:right w:w="108" w:type="dxa"/>
          </w:tblCellMar>
        </w:tblPrEx>
        <w:trPr>
          <w:trHeight w:val="285" w:hRule="atLeast"/>
          <w:jc w:val="center"/>
        </w:trPr>
        <w:tc>
          <w:tcPr>
            <w:tcW w:w="880"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月份</w:t>
            </w:r>
          </w:p>
        </w:tc>
        <w:tc>
          <w:tcPr>
            <w:tcW w:w="1080" w:type="dxa"/>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新购</w:t>
            </w:r>
            <w:r>
              <w:rPr>
                <w:rFonts w:hint="eastAsia" w:ascii="微软雅黑" w:hAnsi="微软雅黑" w:eastAsia="微软雅黑"/>
                <w:b/>
                <w:szCs w:val="21"/>
              </w:rPr>
              <w:t>图书</w:t>
            </w:r>
          </w:p>
        </w:tc>
        <w:tc>
          <w:tcPr>
            <w:tcW w:w="2140" w:type="dxa"/>
            <w:gridSpan w:val="2"/>
            <w:tcBorders>
              <w:top w:val="single" w:color="auto" w:sz="8" w:space="0"/>
              <w:left w:val="nil"/>
              <w:bottom w:val="single" w:color="auto" w:sz="4" w:space="0"/>
              <w:right w:val="single" w:color="000000" w:sz="8"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入藏图书</w:t>
            </w:r>
          </w:p>
        </w:tc>
      </w:tr>
      <w:tr>
        <w:tblPrEx>
          <w:tblCellMar>
            <w:top w:w="0" w:type="dxa"/>
            <w:left w:w="108" w:type="dxa"/>
            <w:bottom w:w="0" w:type="dxa"/>
            <w:right w:w="108" w:type="dxa"/>
          </w:tblCellMar>
        </w:tblPrEx>
        <w:trPr>
          <w:trHeight w:val="285" w:hRule="atLeast"/>
          <w:jc w:val="center"/>
        </w:trPr>
        <w:tc>
          <w:tcPr>
            <w:tcW w:w="880"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Tahoma"/>
                <w:b/>
                <w:bCs/>
                <w:color w:val="000000"/>
                <w:sz w:val="20"/>
                <w:szCs w:val="20"/>
              </w:rPr>
            </w:pPr>
          </w:p>
        </w:tc>
        <w:tc>
          <w:tcPr>
            <w:tcW w:w="1080" w:type="dxa"/>
            <w:vMerge w:val="continue"/>
            <w:tcBorders>
              <w:top w:val="single" w:color="auto" w:sz="8" w:space="0"/>
              <w:left w:val="single" w:color="auto" w:sz="4" w:space="0"/>
              <w:bottom w:val="single" w:color="auto" w:sz="4" w:space="0"/>
              <w:right w:val="single" w:color="auto" w:sz="4" w:space="0"/>
            </w:tcBorders>
            <w:vAlign w:val="center"/>
          </w:tcPr>
          <w:p>
            <w:pPr>
              <w:spacing w:line="360" w:lineRule="auto"/>
              <w:rPr>
                <w:rFonts w:ascii="宋体" w:hAnsi="宋体" w:eastAsia="宋体" w:cs="Tahoma"/>
                <w:b/>
                <w:bCs/>
                <w:color w:val="000000"/>
                <w:sz w:val="20"/>
                <w:szCs w:val="20"/>
              </w:rPr>
            </w:pP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全部</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少儿</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13,282</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13,614</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6,849</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4,947</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5,685</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340</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2,453</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3,004</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826</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4,699</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3,125</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622</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6,997</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4,955</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1,485</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6,372</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7,379</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2,682</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4,423</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8,579</w:t>
            </w:r>
          </w:p>
        </w:tc>
        <w:tc>
          <w:tcPr>
            <w:tcW w:w="107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4,116</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12,374</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6,195</w:t>
            </w:r>
          </w:p>
        </w:tc>
        <w:tc>
          <w:tcPr>
            <w:tcW w:w="107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1,659</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4,893</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7,511</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2,120</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9,386</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5,022</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473</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11</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5,358</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7,870</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3,005</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5,131</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18,098</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7,464</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合计</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80,315</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91,037</w:t>
            </w:r>
          </w:p>
        </w:tc>
        <w:tc>
          <w:tcPr>
            <w:tcW w:w="107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31,641</w:t>
            </w:r>
          </w:p>
        </w:tc>
      </w:tr>
    </w:tbl>
    <w:p>
      <w:pPr>
        <w:spacing w:line="360" w:lineRule="auto"/>
        <w:rPr>
          <w:rFonts w:ascii="微软雅黑" w:hAnsi="微软雅黑" w:eastAsia="微软雅黑"/>
          <w:b/>
          <w:szCs w:val="21"/>
        </w:rPr>
      </w:pPr>
      <w:r>
        <w:rPr>
          <w:rFonts w:hint="eastAsia" w:ascii="微软雅黑" w:hAnsi="微软雅黑" w:eastAsia="微软雅黑"/>
          <w:b/>
          <w:szCs w:val="21"/>
        </w:rPr>
        <w:t>3. 本年订购报纸、期刊种类数</w:t>
      </w:r>
    </w:p>
    <w:tbl>
      <w:tblPr>
        <w:tblStyle w:val="8"/>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种类</w:t>
            </w:r>
          </w:p>
        </w:tc>
        <w:tc>
          <w:tcPr>
            <w:tcW w:w="1780"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数量（种）</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报纸</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265</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期刊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1,190</w:t>
            </w:r>
          </w:p>
        </w:tc>
      </w:tr>
      <w:tr>
        <w:tblPrEx>
          <w:tblCellMar>
            <w:top w:w="0" w:type="dxa"/>
            <w:left w:w="108" w:type="dxa"/>
            <w:bottom w:w="0" w:type="dxa"/>
            <w:right w:w="108" w:type="dxa"/>
          </w:tblCellMar>
        </w:tblPrEx>
        <w:trPr>
          <w:trHeight w:val="285" w:hRule="atLeast"/>
          <w:jc w:val="center"/>
        </w:trPr>
        <w:tc>
          <w:tcPr>
            <w:tcW w:w="3200" w:type="dxa"/>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rPr>
            </w:pPr>
            <w:r>
              <w:rPr>
                <w:rFonts w:hint="eastAsia" w:ascii="宋体" w:hAnsi="宋体" w:eastAsia="宋体" w:cs="Tahoma"/>
              </w:rPr>
              <w:t>合计</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1,455</w:t>
            </w:r>
          </w:p>
        </w:tc>
      </w:tr>
    </w:tbl>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pStyle w:val="14"/>
        <w:numPr>
          <w:numId w:val="0"/>
        </w:numPr>
        <w:spacing w:line="360" w:lineRule="auto"/>
        <w:ind w:leftChars="0"/>
        <w:jc w:val="center"/>
        <w:rPr>
          <w:rFonts w:ascii="微软雅黑" w:hAnsi="微软雅黑" w:eastAsia="微软雅黑"/>
          <w:b/>
          <w:sz w:val="24"/>
          <w:szCs w:val="24"/>
        </w:rPr>
      </w:pPr>
      <w:bookmarkStart w:id="2" w:name="_GoBack"/>
      <w:bookmarkEnd w:id="2"/>
      <w:r>
        <w:rPr>
          <w:rFonts w:hint="eastAsia" w:ascii="微软雅黑" w:hAnsi="微软雅黑" w:eastAsia="微软雅黑"/>
          <w:b/>
          <w:sz w:val="24"/>
          <w:szCs w:val="24"/>
          <w:lang w:eastAsia="zh-CN"/>
        </w:rPr>
        <w:t>八、</w:t>
      </w:r>
      <w:r>
        <w:rPr>
          <w:rFonts w:hint="eastAsia" w:ascii="微软雅黑" w:hAnsi="微软雅黑" w:eastAsia="微软雅黑"/>
          <w:b/>
          <w:sz w:val="24"/>
          <w:szCs w:val="24"/>
        </w:rPr>
        <w:t>业务工作情况</w:t>
      </w:r>
    </w:p>
    <w:p>
      <w:pPr>
        <w:spacing w:line="360" w:lineRule="auto"/>
        <w:ind w:firstLine="420"/>
        <w:rPr>
          <w:rFonts w:ascii="宋体" w:hAnsi="宋体"/>
          <w:b/>
          <w:szCs w:val="21"/>
        </w:rPr>
      </w:pPr>
      <w:r>
        <w:rPr>
          <w:rFonts w:hint="eastAsia" w:ascii="微软雅黑" w:hAnsi="微软雅黑" w:eastAsia="微软雅黑"/>
          <w:b/>
          <w:szCs w:val="21"/>
        </w:rPr>
        <w:t>1.基础服务</w:t>
      </w:r>
    </w:p>
    <w:tbl>
      <w:tblPr>
        <w:tblStyle w:val="8"/>
        <w:tblW w:w="8880" w:type="dxa"/>
        <w:jc w:val="center"/>
        <w:tblLayout w:type="autofit"/>
        <w:tblCellMar>
          <w:top w:w="0" w:type="dxa"/>
          <w:left w:w="108" w:type="dxa"/>
          <w:bottom w:w="0" w:type="dxa"/>
          <w:right w:w="108" w:type="dxa"/>
        </w:tblCellMar>
      </w:tblPr>
      <w:tblGrid>
        <w:gridCol w:w="852"/>
        <w:gridCol w:w="1350"/>
        <w:gridCol w:w="1276"/>
        <w:gridCol w:w="1276"/>
        <w:gridCol w:w="1417"/>
        <w:gridCol w:w="1326"/>
        <w:gridCol w:w="1383"/>
      </w:tblGrid>
      <w:tr>
        <w:tblPrEx>
          <w:tblCellMar>
            <w:top w:w="0" w:type="dxa"/>
            <w:left w:w="108" w:type="dxa"/>
            <w:bottom w:w="0" w:type="dxa"/>
            <w:right w:w="108" w:type="dxa"/>
          </w:tblCellMar>
        </w:tblPrEx>
        <w:trPr>
          <w:trHeight w:val="270" w:hRule="atLeast"/>
          <w:jc w:val="center"/>
        </w:trPr>
        <w:tc>
          <w:tcPr>
            <w:tcW w:w="852"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2626"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借还册次</w:t>
            </w:r>
          </w:p>
        </w:tc>
        <w:tc>
          <w:tcPr>
            <w:tcW w:w="2693"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借还人次</w:t>
            </w:r>
          </w:p>
        </w:tc>
        <w:tc>
          <w:tcPr>
            <w:tcW w:w="1326"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电子图书</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外借册次</w:t>
            </w:r>
          </w:p>
        </w:tc>
        <w:tc>
          <w:tcPr>
            <w:tcW w:w="1383" w:type="dxa"/>
            <w:vMerge w:val="restart"/>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街镇借还</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册次</w:t>
            </w:r>
          </w:p>
        </w:tc>
      </w:tr>
      <w:tr>
        <w:tblPrEx>
          <w:tblCellMar>
            <w:top w:w="0" w:type="dxa"/>
            <w:left w:w="108" w:type="dxa"/>
            <w:bottom w:w="0" w:type="dxa"/>
            <w:right w:w="108" w:type="dxa"/>
          </w:tblCellMar>
        </w:tblPrEx>
        <w:trPr>
          <w:trHeight w:val="270" w:hRule="atLeast"/>
          <w:jc w:val="center"/>
        </w:trPr>
        <w:tc>
          <w:tcPr>
            <w:tcW w:w="852"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宋体"/>
                <w:b/>
                <w:bCs/>
                <w:color w:val="000000"/>
                <w:szCs w:val="21"/>
              </w:rPr>
            </w:pP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326" w:type="dxa"/>
            <w:vMerge w:val="continue"/>
            <w:tcBorders>
              <w:top w:val="single" w:color="auto" w:sz="8" w:space="0"/>
              <w:left w:val="single" w:color="auto" w:sz="4" w:space="0"/>
              <w:bottom w:val="single" w:color="auto" w:sz="4" w:space="0"/>
              <w:right w:val="single" w:color="auto" w:sz="4" w:space="0"/>
            </w:tcBorders>
            <w:vAlign w:val="center"/>
          </w:tcPr>
          <w:p>
            <w:pPr>
              <w:spacing w:line="360" w:lineRule="auto"/>
              <w:rPr>
                <w:rFonts w:ascii="宋体" w:hAnsi="宋体" w:eastAsia="宋体" w:cs="宋体"/>
                <w:b/>
                <w:bCs/>
                <w:color w:val="000000"/>
                <w:sz w:val="20"/>
                <w:szCs w:val="20"/>
              </w:rPr>
            </w:pPr>
          </w:p>
        </w:tc>
        <w:tc>
          <w:tcPr>
            <w:tcW w:w="1383" w:type="dxa"/>
            <w:vMerge w:val="continue"/>
            <w:tcBorders>
              <w:top w:val="single" w:color="auto" w:sz="8" w:space="0"/>
              <w:left w:val="single" w:color="auto" w:sz="4" w:space="0"/>
              <w:bottom w:val="single" w:color="auto" w:sz="4" w:space="0"/>
              <w:right w:val="single" w:color="auto" w:sz="8" w:space="0"/>
            </w:tcBorders>
            <w:vAlign w:val="center"/>
          </w:tcPr>
          <w:p>
            <w:pPr>
              <w:spacing w:line="360" w:lineRule="auto"/>
              <w:rPr>
                <w:rFonts w:ascii="宋体" w:hAnsi="宋体" w:eastAsia="宋体" w:cs="宋体"/>
                <w:b/>
                <w:bCs/>
                <w:color w:val="000000"/>
                <w:sz w:val="20"/>
                <w:szCs w:val="20"/>
              </w:rPr>
            </w:pP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240,667</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107,441</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52,663</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17,985</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12,223</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138,788</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203,977</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88,940</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44,711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15,176</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11,632</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108,147</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255,986</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109,413</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56,674</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18,951</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11,776</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139,609</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223,065</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97,368</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49,847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16,737</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13,381</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142,240</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236,620</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105,155</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52,759</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18,222</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12,755</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154,558</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242,002</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111,049</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52,945</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18,866</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12,941</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151,144</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271,202</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126,250</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60,100</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22,250</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12,831</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170,299</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249,606</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116,330</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55,982</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20,638</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11,474</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160,805</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235,214</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106,261</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52,536</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18,622</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13,095</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139,950</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224,558</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100,968</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50,992</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18,048</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10,738</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143,331</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206,487</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90,631</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46,761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15,829</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10,737</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136,981</w:t>
            </w:r>
          </w:p>
        </w:tc>
      </w:tr>
      <w:tr>
        <w:tblPrEx>
          <w:tblCellMar>
            <w:top w:w="0" w:type="dxa"/>
            <w:left w:w="108" w:type="dxa"/>
            <w:bottom w:w="0" w:type="dxa"/>
            <w:right w:w="108" w:type="dxa"/>
          </w:tblCellMar>
        </w:tblPrEx>
        <w:trPr>
          <w:trHeight w:val="270" w:hRule="atLeast"/>
          <w:jc w:val="center"/>
        </w:trPr>
        <w:tc>
          <w:tcPr>
            <w:tcW w:w="85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35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213,557</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95,114</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48,458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16,663</w:t>
            </w:r>
          </w:p>
        </w:tc>
        <w:tc>
          <w:tcPr>
            <w:tcW w:w="132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10,529</w:t>
            </w:r>
          </w:p>
        </w:tc>
        <w:tc>
          <w:tcPr>
            <w:tcW w:w="1383"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129,070</w:t>
            </w:r>
          </w:p>
        </w:tc>
      </w:tr>
      <w:tr>
        <w:tblPrEx>
          <w:tblCellMar>
            <w:top w:w="0" w:type="dxa"/>
            <w:left w:w="108" w:type="dxa"/>
            <w:bottom w:w="0" w:type="dxa"/>
            <w:right w:w="108" w:type="dxa"/>
          </w:tblCellMar>
        </w:tblPrEx>
        <w:trPr>
          <w:trHeight w:val="285" w:hRule="atLeast"/>
          <w:jc w:val="center"/>
        </w:trPr>
        <w:tc>
          <w:tcPr>
            <w:tcW w:w="852"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350"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2,802,941</w:t>
            </w:r>
          </w:p>
        </w:tc>
        <w:tc>
          <w:tcPr>
            <w:tcW w:w="127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1,254,920</w:t>
            </w:r>
          </w:p>
        </w:tc>
        <w:tc>
          <w:tcPr>
            <w:tcW w:w="127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624,428</w:t>
            </w:r>
          </w:p>
        </w:tc>
        <w:tc>
          <w:tcPr>
            <w:tcW w:w="1417" w:type="dxa"/>
            <w:tcBorders>
              <w:top w:val="single" w:color="auto" w:sz="4" w:space="0"/>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217,987</w:t>
            </w:r>
          </w:p>
        </w:tc>
        <w:tc>
          <w:tcPr>
            <w:tcW w:w="132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144,112</w:t>
            </w:r>
          </w:p>
        </w:tc>
        <w:tc>
          <w:tcPr>
            <w:tcW w:w="1383" w:type="dxa"/>
            <w:tcBorders>
              <w:top w:val="nil"/>
              <w:left w:val="nil"/>
              <w:bottom w:val="single" w:color="auto" w:sz="8"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1,714,922</w:t>
            </w:r>
          </w:p>
        </w:tc>
      </w:tr>
    </w:tbl>
    <w:p>
      <w:pPr>
        <w:spacing w:line="360" w:lineRule="auto"/>
        <w:rPr>
          <w:rFonts w:ascii="宋体" w:hAnsi="宋体"/>
          <w:b/>
          <w:szCs w:val="21"/>
        </w:rPr>
      </w:pPr>
    </w:p>
    <w:tbl>
      <w:tblPr>
        <w:tblStyle w:val="8"/>
        <w:tblW w:w="9484" w:type="dxa"/>
        <w:jc w:val="center"/>
        <w:tblLayout w:type="autofit"/>
        <w:tblCellMar>
          <w:top w:w="0" w:type="dxa"/>
          <w:left w:w="108" w:type="dxa"/>
          <w:bottom w:w="0" w:type="dxa"/>
          <w:right w:w="108" w:type="dxa"/>
        </w:tblCellMar>
      </w:tblPr>
      <w:tblGrid>
        <w:gridCol w:w="892"/>
        <w:gridCol w:w="1154"/>
        <w:gridCol w:w="1313"/>
        <w:gridCol w:w="1134"/>
        <w:gridCol w:w="1332"/>
        <w:gridCol w:w="1176"/>
        <w:gridCol w:w="1314"/>
        <w:gridCol w:w="1169"/>
      </w:tblGrid>
      <w:tr>
        <w:tblPrEx>
          <w:tblCellMar>
            <w:top w:w="0" w:type="dxa"/>
            <w:left w:w="108" w:type="dxa"/>
            <w:bottom w:w="0" w:type="dxa"/>
            <w:right w:w="108" w:type="dxa"/>
          </w:tblCellMar>
        </w:tblPrEx>
        <w:trPr>
          <w:trHeight w:val="525" w:hRule="atLeast"/>
          <w:jc w:val="center"/>
        </w:trPr>
        <w:tc>
          <w:tcPr>
            <w:tcW w:w="892" w:type="dxa"/>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1154"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无线上网</w:t>
            </w:r>
          </w:p>
        </w:tc>
        <w:tc>
          <w:tcPr>
            <w:tcW w:w="1313"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总流通人次</w:t>
            </w:r>
          </w:p>
        </w:tc>
        <w:tc>
          <w:tcPr>
            <w:tcW w:w="1134"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参考咨询</w:t>
            </w:r>
          </w:p>
        </w:tc>
        <w:tc>
          <w:tcPr>
            <w:tcW w:w="1332" w:type="dxa"/>
            <w:tcBorders>
              <w:top w:val="single" w:color="auto" w:sz="8" w:space="0"/>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访问量</w:t>
            </w:r>
          </w:p>
        </w:tc>
        <w:tc>
          <w:tcPr>
            <w:tcW w:w="1176" w:type="dxa"/>
            <w:tcBorders>
              <w:top w:val="single" w:color="auto" w:sz="8" w:space="0"/>
              <w:left w:val="nil"/>
              <w:bottom w:val="single" w:color="auto" w:sz="4" w:space="0"/>
              <w:right w:val="single" w:color="auto" w:sz="4" w:space="0"/>
            </w:tcBorders>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微信端</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访问量</w:t>
            </w:r>
          </w:p>
        </w:tc>
        <w:tc>
          <w:tcPr>
            <w:tcW w:w="1314"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检索量</w:t>
            </w:r>
          </w:p>
        </w:tc>
        <w:tc>
          <w:tcPr>
            <w:tcW w:w="1169" w:type="dxa"/>
            <w:tcBorders>
              <w:top w:val="single" w:color="auto" w:sz="8" w:space="0"/>
              <w:left w:val="nil"/>
              <w:bottom w:val="single" w:color="auto" w:sz="4" w:space="0"/>
              <w:right w:val="single" w:color="auto" w:sz="8" w:space="0"/>
            </w:tcBorders>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下载量</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13,653</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96,378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370</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570,455</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5,439</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627,501</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48,386</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9,742</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75,979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299</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486,043</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3,402</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534,647</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49,230</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15,937</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99,138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290</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489,067</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6,479</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537,974</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49,161</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11,113</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91,660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267</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495,595</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5,425</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545,155</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52,538</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9,463</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84,241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269</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516,448</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9,576</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568,093</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44,277</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9,463</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83,154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270</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409,056</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6,337</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449,962</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47,316</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7,587</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145,611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266</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379,559</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8,522</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417,515</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33,389</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10,394</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149,139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309</w:t>
            </w:r>
          </w:p>
        </w:tc>
        <w:tc>
          <w:tcPr>
            <w:tcW w:w="1332"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408,757</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10,976</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449,633</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31,501</w:t>
            </w:r>
          </w:p>
        </w:tc>
      </w:tr>
      <w:tr>
        <w:tblPrEx>
          <w:tblCellMar>
            <w:top w:w="0" w:type="dxa"/>
            <w:left w:w="108" w:type="dxa"/>
            <w:bottom w:w="0" w:type="dxa"/>
            <w:right w:w="108" w:type="dxa"/>
          </w:tblCellMar>
        </w:tblPrEx>
        <w:trPr>
          <w:trHeight w:val="270" w:hRule="atLeast"/>
          <w:jc w:val="center"/>
        </w:trPr>
        <w:tc>
          <w:tcPr>
            <w:tcW w:w="89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15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9,421</w:t>
            </w:r>
          </w:p>
        </w:tc>
        <w:tc>
          <w:tcPr>
            <w:tcW w:w="1313"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102,659</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268</w:t>
            </w:r>
          </w:p>
        </w:tc>
        <w:tc>
          <w:tcPr>
            <w:tcW w:w="13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414,805</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9,322</w:t>
            </w:r>
          </w:p>
        </w:tc>
        <w:tc>
          <w:tcPr>
            <w:tcW w:w="1314" w:type="dxa"/>
            <w:tcBorders>
              <w:top w:val="single" w:color="auto" w:sz="4" w:space="0"/>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456,286</w:t>
            </w:r>
          </w:p>
        </w:tc>
        <w:tc>
          <w:tcPr>
            <w:tcW w:w="1169" w:type="dxa"/>
            <w:tcBorders>
              <w:top w:val="single" w:color="auto" w:sz="4" w:space="0"/>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33,307</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9,479</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106,880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268</w:t>
            </w:r>
          </w:p>
        </w:tc>
        <w:tc>
          <w:tcPr>
            <w:tcW w:w="133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rPr>
            </w:pPr>
            <w:r>
              <w:rPr>
                <w:rFonts w:hint="eastAsia" w:ascii="宋体" w:hAnsi="宋体" w:eastAsia="宋体" w:cs="宋体"/>
                <w:color w:val="000000"/>
              </w:rPr>
              <w:t>536,579</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11,355</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590,237</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36,904</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8,481</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88,424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290</w:t>
            </w:r>
          </w:p>
        </w:tc>
        <w:tc>
          <w:tcPr>
            <w:tcW w:w="133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rPr>
            </w:pPr>
            <w:r>
              <w:rPr>
                <w:rFonts w:hint="eastAsia" w:ascii="宋体" w:hAnsi="宋体" w:eastAsia="宋体" w:cs="宋体"/>
                <w:color w:val="000000"/>
              </w:rPr>
              <w:t>543,087</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12,450</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597,396</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47,854</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8,690</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96,434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rPr>
            </w:pPr>
            <w:r>
              <w:rPr>
                <w:rFonts w:hint="eastAsia" w:ascii="宋体" w:hAnsi="宋体" w:eastAsia="宋体" w:cs="宋体"/>
                <w:color w:val="000000"/>
              </w:rPr>
              <w:t>2</w:t>
            </w:r>
            <w:r>
              <w:rPr>
                <w:rFonts w:ascii="宋体" w:hAnsi="宋体" w:eastAsia="宋体" w:cs="宋体"/>
                <w:color w:val="000000"/>
              </w:rPr>
              <w:t>,</w:t>
            </w:r>
            <w:r>
              <w:rPr>
                <w:rFonts w:hint="eastAsia" w:ascii="宋体" w:hAnsi="宋体" w:eastAsia="宋体" w:cs="宋体"/>
                <w:color w:val="000000"/>
              </w:rPr>
              <w:t>312</w:t>
            </w:r>
          </w:p>
        </w:tc>
        <w:tc>
          <w:tcPr>
            <w:tcW w:w="133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rPr>
            </w:pPr>
            <w:r>
              <w:rPr>
                <w:rFonts w:hint="eastAsia" w:ascii="宋体" w:hAnsi="宋体" w:eastAsia="宋体" w:cs="宋体"/>
                <w:color w:val="000000"/>
              </w:rPr>
              <w:t>683,161</w:t>
            </w:r>
          </w:p>
        </w:tc>
        <w:tc>
          <w:tcPr>
            <w:tcW w:w="1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14,834</w:t>
            </w:r>
          </w:p>
        </w:tc>
        <w:tc>
          <w:tcPr>
            <w:tcW w:w="1314"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751,477</w:t>
            </w:r>
          </w:p>
        </w:tc>
        <w:tc>
          <w:tcPr>
            <w:tcW w:w="1169" w:type="dxa"/>
            <w:tcBorders>
              <w:top w:val="nil"/>
              <w:left w:val="nil"/>
              <w:bottom w:val="single" w:color="auto" w:sz="4"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39,631</w:t>
            </w:r>
          </w:p>
        </w:tc>
      </w:tr>
      <w:tr>
        <w:tblPrEx>
          <w:tblCellMar>
            <w:top w:w="0" w:type="dxa"/>
            <w:left w:w="108" w:type="dxa"/>
            <w:bottom w:w="0" w:type="dxa"/>
            <w:right w:w="108" w:type="dxa"/>
          </w:tblCellMar>
        </w:tblPrEx>
        <w:trPr>
          <w:trHeight w:val="285" w:hRule="atLeast"/>
          <w:jc w:val="center"/>
        </w:trPr>
        <w:tc>
          <w:tcPr>
            <w:tcW w:w="892"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154"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123,423</w:t>
            </w:r>
          </w:p>
        </w:tc>
        <w:tc>
          <w:tcPr>
            <w:tcW w:w="1313"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1,219,697</w:t>
            </w:r>
          </w:p>
        </w:tc>
        <w:tc>
          <w:tcPr>
            <w:tcW w:w="1134" w:type="dxa"/>
            <w:tcBorders>
              <w:top w:val="nil"/>
              <w:left w:val="nil"/>
              <w:bottom w:val="single" w:color="auto" w:sz="8" w:space="0"/>
              <w:right w:val="single" w:color="auto" w:sz="4" w:space="0"/>
            </w:tcBorders>
            <w:shd w:val="clear" w:color="auto" w:fill="auto"/>
            <w:noWrap/>
            <w:vAlign w:val="center"/>
          </w:tcPr>
          <w:p>
            <w:pPr>
              <w:jc w:val="center"/>
              <w:rPr>
                <w:rFonts w:ascii="宋体" w:hAnsi="宋体" w:eastAsia="宋体" w:cs="宋体"/>
                <w:color w:val="000000"/>
              </w:rPr>
            </w:pPr>
            <w:r>
              <w:rPr>
                <w:rFonts w:ascii="宋体" w:hAnsi="宋体" w:eastAsia="宋体" w:cs="宋体"/>
                <w:color w:val="000000"/>
              </w:rPr>
              <w:t>27,478</w:t>
            </w:r>
          </w:p>
        </w:tc>
        <w:tc>
          <w:tcPr>
            <w:tcW w:w="1332" w:type="dxa"/>
            <w:tcBorders>
              <w:top w:val="nil"/>
              <w:left w:val="nil"/>
              <w:bottom w:val="single" w:color="auto" w:sz="8" w:space="0"/>
              <w:right w:val="single" w:color="auto" w:sz="4" w:space="0"/>
            </w:tcBorders>
            <w:shd w:val="clear" w:color="auto" w:fill="auto"/>
            <w:vAlign w:val="center"/>
          </w:tcPr>
          <w:p>
            <w:pPr>
              <w:jc w:val="center"/>
              <w:rPr>
                <w:rFonts w:ascii="宋体" w:hAnsi="宋体" w:eastAsia="宋体" w:cs="宋体"/>
                <w:color w:val="000000"/>
              </w:rPr>
            </w:pPr>
            <w:r>
              <w:rPr>
                <w:rFonts w:hint="eastAsia" w:ascii="宋体" w:hAnsi="宋体" w:eastAsia="宋体" w:cs="宋体"/>
                <w:color w:val="000000"/>
              </w:rPr>
              <w:t>5,932,612</w:t>
            </w:r>
          </w:p>
        </w:tc>
        <w:tc>
          <w:tcPr>
            <w:tcW w:w="1176" w:type="dxa"/>
            <w:tcBorders>
              <w:top w:val="single" w:color="auto" w:sz="4" w:space="0"/>
              <w:left w:val="nil"/>
              <w:bottom w:val="single" w:color="auto" w:sz="8" w:space="0"/>
              <w:right w:val="single" w:color="auto" w:sz="4" w:space="0"/>
            </w:tcBorders>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104,117</w:t>
            </w:r>
          </w:p>
        </w:tc>
        <w:tc>
          <w:tcPr>
            <w:tcW w:w="1314" w:type="dxa"/>
            <w:tcBorders>
              <w:top w:val="nil"/>
              <w:left w:val="single" w:color="auto" w:sz="4" w:space="0"/>
              <w:bottom w:val="single" w:color="auto" w:sz="8" w:space="0"/>
              <w:right w:val="single" w:color="auto" w:sz="8"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 xml:space="preserve">6,525,876 </w:t>
            </w:r>
          </w:p>
        </w:tc>
        <w:tc>
          <w:tcPr>
            <w:tcW w:w="1169" w:type="dxa"/>
            <w:tcBorders>
              <w:top w:val="nil"/>
              <w:left w:val="nil"/>
              <w:bottom w:val="single" w:color="auto" w:sz="8" w:space="0"/>
              <w:right w:val="single" w:color="auto" w:sz="8" w:space="0"/>
            </w:tcBorders>
            <w:vAlign w:val="center"/>
          </w:tcPr>
          <w:p>
            <w:pPr>
              <w:jc w:val="center"/>
              <w:rPr>
                <w:rFonts w:ascii="宋体" w:hAnsi="宋体" w:eastAsia="宋体" w:cs="宋体"/>
                <w:color w:val="000000"/>
              </w:rPr>
            </w:pPr>
            <w:r>
              <w:rPr>
                <w:rFonts w:hint="eastAsia" w:ascii="宋体" w:hAnsi="宋体" w:eastAsia="宋体" w:cs="宋体"/>
                <w:color w:val="000000"/>
              </w:rPr>
              <w:t>513,494</w:t>
            </w:r>
          </w:p>
        </w:tc>
      </w:tr>
    </w:tbl>
    <w:p>
      <w:pPr>
        <w:spacing w:line="360" w:lineRule="auto"/>
        <w:jc w:val="center"/>
        <w:rPr>
          <w:rFonts w:ascii="宋体" w:hAnsi="宋体"/>
          <w:b/>
          <w:szCs w:val="21"/>
        </w:rPr>
      </w:pPr>
    </w:p>
    <w:p>
      <w:pPr>
        <w:spacing w:line="360" w:lineRule="auto"/>
        <w:jc w:val="center"/>
        <w:rPr>
          <w:rFonts w:ascii="宋体" w:hAnsi="宋体"/>
          <w:b/>
          <w:szCs w:val="21"/>
        </w:rPr>
      </w:pPr>
      <w:r>
        <w:rPr>
          <w:rFonts w:hint="eastAsia" w:ascii="宋体" w:hAnsi="宋体"/>
          <w:b/>
          <w:szCs w:val="21"/>
        </w:rPr>
        <w:t>有效证件</w:t>
      </w:r>
    </w:p>
    <w:tbl>
      <w:tblPr>
        <w:tblStyle w:val="8"/>
        <w:tblW w:w="5400" w:type="dxa"/>
        <w:jc w:val="center"/>
        <w:tblLayout w:type="autofit"/>
        <w:tblCellMar>
          <w:top w:w="0" w:type="dxa"/>
          <w:left w:w="108" w:type="dxa"/>
          <w:bottom w:w="0" w:type="dxa"/>
          <w:right w:w="108" w:type="dxa"/>
        </w:tblCellMar>
      </w:tblPr>
      <w:tblGrid>
        <w:gridCol w:w="724"/>
        <w:gridCol w:w="1046"/>
        <w:gridCol w:w="970"/>
        <w:gridCol w:w="1445"/>
        <w:gridCol w:w="1215"/>
      </w:tblGrid>
      <w:tr>
        <w:tblPrEx>
          <w:tblCellMar>
            <w:top w:w="0" w:type="dxa"/>
            <w:left w:w="108" w:type="dxa"/>
            <w:bottom w:w="0" w:type="dxa"/>
            <w:right w:w="108" w:type="dxa"/>
          </w:tblCellMar>
        </w:tblPrEx>
        <w:trPr>
          <w:trHeight w:val="270" w:hRule="atLeast"/>
          <w:jc w:val="center"/>
        </w:trPr>
        <w:tc>
          <w:tcPr>
            <w:tcW w:w="724"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2016"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新办证</w:t>
            </w:r>
          </w:p>
        </w:tc>
        <w:tc>
          <w:tcPr>
            <w:tcW w:w="2660" w:type="dxa"/>
            <w:gridSpan w:val="2"/>
            <w:tcBorders>
              <w:top w:val="single" w:color="auto" w:sz="8" w:space="0"/>
              <w:left w:val="nil"/>
              <w:bottom w:val="single" w:color="auto" w:sz="4" w:space="0"/>
              <w:right w:val="single" w:color="000000" w:sz="8"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有效证</w:t>
            </w:r>
          </w:p>
        </w:tc>
      </w:tr>
      <w:tr>
        <w:tblPrEx>
          <w:tblCellMar>
            <w:top w:w="0" w:type="dxa"/>
            <w:left w:w="108" w:type="dxa"/>
            <w:bottom w:w="0" w:type="dxa"/>
            <w:right w:w="108" w:type="dxa"/>
          </w:tblCellMar>
        </w:tblPrEx>
        <w:trPr>
          <w:trHeight w:val="270" w:hRule="atLeast"/>
          <w:jc w:val="center"/>
        </w:trPr>
        <w:tc>
          <w:tcPr>
            <w:tcW w:w="724"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宋体"/>
                <w:b/>
                <w:bCs/>
                <w:color w:val="000000"/>
                <w:szCs w:val="21"/>
              </w:rPr>
            </w:pP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闵图</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街镇</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608</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182</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125,876</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44,640</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492</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138</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126,348</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44,806</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970</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252</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126,369</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43,952</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679</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173</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126,886</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44,141</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690</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163</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127,518</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44,485</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684</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137</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128,264</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44,941</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823</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196</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129,242</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45,627</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741</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172</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129,972</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45,958</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783</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250</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130,708</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46,218</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754</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185</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131,416</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46,422</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537</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148</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131,499</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46,374</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516</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143</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131,118</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45,517</w:t>
            </w:r>
          </w:p>
        </w:tc>
      </w:tr>
      <w:tr>
        <w:tblPrEx>
          <w:tblCellMar>
            <w:top w:w="0" w:type="dxa"/>
            <w:left w:w="108" w:type="dxa"/>
            <w:bottom w:w="0" w:type="dxa"/>
            <w:right w:w="108" w:type="dxa"/>
          </w:tblCellMar>
        </w:tblPrEx>
        <w:trPr>
          <w:gridAfter w:val="2"/>
          <w:wAfter w:w="2660" w:type="dxa"/>
          <w:trHeight w:val="285" w:hRule="atLeast"/>
          <w:jc w:val="center"/>
        </w:trPr>
        <w:tc>
          <w:tcPr>
            <w:tcW w:w="724"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04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8,277</w:t>
            </w:r>
          </w:p>
        </w:tc>
        <w:tc>
          <w:tcPr>
            <w:tcW w:w="970"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2,139</w:t>
            </w:r>
          </w:p>
        </w:tc>
      </w:tr>
    </w:tbl>
    <w:p>
      <w:pPr>
        <w:spacing w:line="360" w:lineRule="auto"/>
        <w:rPr>
          <w:rFonts w:ascii="宋体" w:hAnsi="宋体"/>
          <w:b/>
          <w:szCs w:val="21"/>
        </w:rPr>
      </w:pPr>
    </w:p>
    <w:p>
      <w:pPr>
        <w:spacing w:line="360" w:lineRule="auto"/>
        <w:jc w:val="center"/>
        <w:rPr>
          <w:rFonts w:ascii="宋体" w:hAnsi="宋体"/>
          <w:b/>
          <w:szCs w:val="21"/>
        </w:rPr>
      </w:pPr>
      <w:r>
        <w:rPr>
          <w:rFonts w:hint="eastAsia" w:ascii="宋体" w:hAnsi="宋体"/>
          <w:b/>
          <w:szCs w:val="21"/>
        </w:rPr>
        <w:t>网站访问量</w:t>
      </w:r>
    </w:p>
    <w:tbl>
      <w:tblPr>
        <w:tblStyle w:val="8"/>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8"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项  目</w:t>
            </w:r>
          </w:p>
        </w:tc>
        <w:tc>
          <w:tcPr>
            <w:tcW w:w="17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页  次</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szCs w:val="21"/>
              </w:rPr>
            </w:pPr>
            <w:r>
              <w:rPr>
                <w:rFonts w:hint="eastAsia" w:ascii="宋体" w:hAnsi="宋体" w:eastAsia="宋体" w:cs="Tahoma"/>
                <w:szCs w:val="21"/>
              </w:rPr>
              <w:t>官网网站访问量</w:t>
            </w:r>
          </w:p>
        </w:tc>
        <w:tc>
          <w:tcPr>
            <w:tcW w:w="17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181,083</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szCs w:val="21"/>
              </w:rPr>
            </w:pPr>
            <w:r>
              <w:rPr>
                <w:rFonts w:hint="eastAsia" w:ascii="宋体" w:hAnsi="宋体" w:eastAsia="宋体" w:cs="Tahoma"/>
                <w:szCs w:val="21"/>
              </w:rPr>
              <w:t>馆内官网访问量</w:t>
            </w:r>
          </w:p>
        </w:tc>
        <w:tc>
          <w:tcPr>
            <w:tcW w:w="17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638,345</w:t>
            </w:r>
          </w:p>
        </w:tc>
      </w:tr>
      <w:tr>
        <w:tblPrEx>
          <w:tblCellMar>
            <w:top w:w="0" w:type="dxa"/>
            <w:left w:w="108" w:type="dxa"/>
            <w:bottom w:w="0" w:type="dxa"/>
            <w:right w:w="108" w:type="dxa"/>
          </w:tblCellMar>
        </w:tblPrEx>
        <w:trPr>
          <w:trHeight w:val="300" w:hRule="atLeast"/>
          <w:jc w:val="center"/>
        </w:trPr>
        <w:tc>
          <w:tcPr>
            <w:tcW w:w="3200" w:type="dxa"/>
            <w:gridSpan w:val="2"/>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　</w:t>
            </w:r>
            <w:r>
              <w:rPr>
                <w:rFonts w:hint="eastAsia" w:ascii="宋体" w:hAnsi="宋体" w:eastAsia="宋体" w:cs="Tahoma"/>
                <w:szCs w:val="21"/>
              </w:rPr>
              <w:t>合计</w:t>
            </w:r>
          </w:p>
        </w:tc>
        <w:tc>
          <w:tcPr>
            <w:tcW w:w="17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819,428</w:t>
            </w:r>
          </w:p>
        </w:tc>
      </w:tr>
    </w:tbl>
    <w:p>
      <w:pPr>
        <w:widowControl/>
        <w:adjustRightInd w:val="0"/>
        <w:snapToGrid w:val="0"/>
        <w:spacing w:after="200" w:line="360" w:lineRule="auto"/>
        <w:jc w:val="left"/>
        <w:rPr>
          <w:rFonts w:ascii="微软雅黑" w:hAnsi="微软雅黑" w:eastAsia="微软雅黑"/>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2. 特殊群体服务</w:t>
      </w:r>
    </w:p>
    <w:tbl>
      <w:tblPr>
        <w:tblStyle w:val="9"/>
        <w:tblW w:w="0" w:type="auto"/>
        <w:tblInd w:w="19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宋体" w:hAnsi="宋体"/>
                <w:b/>
                <w:szCs w:val="21"/>
              </w:rPr>
            </w:pPr>
            <w:r>
              <w:rPr>
                <w:rFonts w:hint="eastAsia" w:ascii="宋体" w:hAnsi="宋体"/>
                <w:b/>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无障碍设施齐全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设有视障阅览室，提供电脑与盲文图书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ascii="Times New Roman" w:hAnsi="Times New Roman" w:cs="Times New Roman"/>
                <w:color w:val="000000"/>
                <w:sz w:val="22"/>
              </w:rPr>
              <w:t>为老年读者配备老花镜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电话预约登记入馆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开展“数字素养”活动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开展盲人观影活动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开展少儿活动</w:t>
            </w:r>
          </w:p>
        </w:tc>
      </w:tr>
    </w:tbl>
    <w:p>
      <w:pPr>
        <w:spacing w:line="360" w:lineRule="auto"/>
        <w:rPr>
          <w:rFonts w:ascii="宋体" w:hAnsi="宋体"/>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3. 数据库建设统计</w:t>
      </w:r>
    </w:p>
    <w:p>
      <w:pPr>
        <w:spacing w:line="360" w:lineRule="auto"/>
        <w:ind w:firstLine="309" w:firstLineChars="147"/>
        <w:jc w:val="center"/>
        <w:rPr>
          <w:rFonts w:ascii="宋体" w:hAnsi="宋体"/>
          <w:b/>
          <w:szCs w:val="21"/>
        </w:rPr>
      </w:pPr>
      <w:r>
        <w:rPr>
          <w:rFonts w:hint="eastAsia" w:ascii="微软雅黑" w:hAnsi="微软雅黑" w:eastAsia="微软雅黑"/>
          <w:b/>
          <w:szCs w:val="21"/>
        </w:rPr>
        <w:t>本馆自建数据库</w:t>
      </w:r>
    </w:p>
    <w:tbl>
      <w:tblPr>
        <w:tblStyle w:val="8"/>
        <w:tblW w:w="4522" w:type="dxa"/>
        <w:jc w:val="center"/>
        <w:tblLayout w:type="autofit"/>
        <w:tblCellMar>
          <w:top w:w="0" w:type="dxa"/>
          <w:left w:w="108" w:type="dxa"/>
          <w:bottom w:w="0" w:type="dxa"/>
          <w:right w:w="108" w:type="dxa"/>
        </w:tblCellMar>
      </w:tblPr>
      <w:tblGrid>
        <w:gridCol w:w="4522"/>
      </w:tblGrid>
      <w:tr>
        <w:tblPrEx>
          <w:tblCellMar>
            <w:top w:w="0" w:type="dxa"/>
            <w:left w:w="108" w:type="dxa"/>
            <w:bottom w:w="0" w:type="dxa"/>
            <w:right w:w="108" w:type="dxa"/>
          </w:tblCellMar>
        </w:tblPrEx>
        <w:trPr>
          <w:trHeight w:val="285" w:hRule="atLeast"/>
          <w:jc w:val="center"/>
        </w:trPr>
        <w:tc>
          <w:tcPr>
            <w:tcW w:w="4522"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图片电子档案</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闵图流媒体视频共享平台</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闵行记忆</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文化共享工程网站</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地方文献特色库</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闵行历史文化地图</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上海市闵行区政府公开信息查询平台</w:t>
            </w:r>
          </w:p>
        </w:tc>
      </w:tr>
    </w:tbl>
    <w:p>
      <w:pPr>
        <w:spacing w:line="360" w:lineRule="auto"/>
        <w:rPr>
          <w:rFonts w:ascii="宋体" w:hAnsi="宋体"/>
          <w:b/>
          <w:szCs w:val="21"/>
        </w:rPr>
      </w:pP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本馆购买数据库</w:t>
      </w:r>
    </w:p>
    <w:tbl>
      <w:tblPr>
        <w:tblStyle w:val="8"/>
        <w:tblW w:w="4291" w:type="dxa"/>
        <w:jc w:val="center"/>
        <w:tblLayout w:type="autofit"/>
        <w:tblCellMar>
          <w:top w:w="0" w:type="dxa"/>
          <w:left w:w="108" w:type="dxa"/>
          <w:bottom w:w="0" w:type="dxa"/>
          <w:right w:w="108" w:type="dxa"/>
        </w:tblCellMar>
      </w:tblPr>
      <w:tblGrid>
        <w:gridCol w:w="4291"/>
      </w:tblGrid>
      <w:tr>
        <w:tblPrEx>
          <w:tblCellMar>
            <w:top w:w="0" w:type="dxa"/>
            <w:left w:w="108" w:type="dxa"/>
            <w:bottom w:w="0" w:type="dxa"/>
            <w:right w:w="108" w:type="dxa"/>
          </w:tblCellMar>
        </w:tblPrEx>
        <w:trPr>
          <w:trHeight w:val="499" w:hRule="atLeast"/>
          <w:jc w:val="center"/>
        </w:trPr>
        <w:tc>
          <w:tcPr>
            <w:tcW w:w="4291"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 xml:space="preserve">智读天下   </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EBM外文电子书</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随书光盘数字资源</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超星数字图书</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计算机软件通</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广益多媒体外语学习平台</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知识视界  微信</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超星微信在线资源</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龙源数字期刊微信版</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万方数据知识服务平台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读秀知识库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百链</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中国知网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龙源数字期刊</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墨香报纸</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维普期刊及考试服务平台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爱不释书少儿漫画</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易趣数字动画视频库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贝贝国学</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泛在微课堂微信版</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居家生活馆微信版</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云图有声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书舟经典艺术博览库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银符职业技能实训系统</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闵之图历史文化地图</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书香诗词</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笔杆网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中国近代影像资料库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 xml:space="preserve">佰腾专利数据库  </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律商网</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中国历史文献库（睿则恩）</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sz w:val="22"/>
              </w:rPr>
            </w:pPr>
            <w:r>
              <w:rPr>
                <w:rFonts w:hint="eastAsia"/>
                <w:sz w:val="22"/>
              </w:rPr>
              <w:t>《民国时期期刊全文数据库》第12辑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《近代文献图库》第2，3辑</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《红色故事绘》连环画数据库</w:t>
            </w:r>
          </w:p>
        </w:tc>
      </w:tr>
    </w:tbl>
    <w:p>
      <w:pPr>
        <w:widowControl/>
        <w:adjustRightInd w:val="0"/>
        <w:snapToGrid w:val="0"/>
        <w:spacing w:after="200" w:line="360" w:lineRule="auto"/>
        <w:jc w:val="left"/>
        <w:rPr>
          <w:rFonts w:ascii="微软雅黑" w:hAnsi="微软雅黑" w:eastAsia="微软雅黑"/>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4. 数字信息发布平台</w:t>
      </w:r>
    </w:p>
    <w:tbl>
      <w:tblPr>
        <w:tblStyle w:val="8"/>
        <w:tblW w:w="2850" w:type="dxa"/>
        <w:jc w:val="center"/>
        <w:tblLayout w:type="autofit"/>
        <w:tblCellMar>
          <w:top w:w="0" w:type="dxa"/>
          <w:left w:w="108" w:type="dxa"/>
          <w:bottom w:w="0" w:type="dxa"/>
          <w:right w:w="108" w:type="dxa"/>
        </w:tblCellMar>
      </w:tblPr>
      <w:tblGrid>
        <w:gridCol w:w="2850"/>
      </w:tblGrid>
      <w:tr>
        <w:tblPrEx>
          <w:tblCellMar>
            <w:top w:w="0" w:type="dxa"/>
            <w:left w:w="108" w:type="dxa"/>
            <w:bottom w:w="0" w:type="dxa"/>
            <w:right w:w="108" w:type="dxa"/>
          </w:tblCellMar>
        </w:tblPrEx>
        <w:trPr>
          <w:trHeight w:val="285" w:hRule="atLeast"/>
          <w:jc w:val="center"/>
        </w:trPr>
        <w:tc>
          <w:tcPr>
            <w:tcW w:w="2850"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网站平台名称</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上海市闵行区图书馆网站</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闵图微信公众号</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新浪微博</w:t>
            </w:r>
          </w:p>
        </w:tc>
      </w:tr>
    </w:tbl>
    <w:p>
      <w:pPr>
        <w:spacing w:line="360" w:lineRule="auto"/>
        <w:rPr>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5. 咨询服务</w:t>
      </w: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参考咨询</w:t>
      </w:r>
    </w:p>
    <w:tbl>
      <w:tblPr>
        <w:tblStyle w:val="8"/>
        <w:tblW w:w="2620" w:type="dxa"/>
        <w:jc w:val="center"/>
        <w:tblLayout w:type="autofit"/>
        <w:tblCellMar>
          <w:top w:w="0" w:type="dxa"/>
          <w:left w:w="108" w:type="dxa"/>
          <w:bottom w:w="0" w:type="dxa"/>
          <w:right w:w="108" w:type="dxa"/>
        </w:tblCellMar>
      </w:tblPr>
      <w:tblGrid>
        <w:gridCol w:w="2620"/>
      </w:tblGrid>
      <w:tr>
        <w:tblPrEx>
          <w:tblCellMar>
            <w:top w:w="0" w:type="dxa"/>
            <w:left w:w="108" w:type="dxa"/>
            <w:bottom w:w="0" w:type="dxa"/>
            <w:right w:w="108" w:type="dxa"/>
          </w:tblCellMar>
        </w:tblPrEx>
        <w:trPr>
          <w:trHeight w:val="285" w:hRule="atLeast"/>
          <w:jc w:val="center"/>
        </w:trPr>
        <w:tc>
          <w:tcPr>
            <w:tcW w:w="2620"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宋体"/>
                <w:b/>
                <w:bCs/>
                <w:color w:val="000000"/>
                <w:szCs w:val="21"/>
              </w:rPr>
              <w:t>参考咨询项目</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咨询台人工服务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阅览室人工服务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专题阅览室人工服务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E-mail邮件咨询</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网上咨询台</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馆长信箱</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微博咨询</w:t>
            </w:r>
          </w:p>
        </w:tc>
      </w:tr>
      <w:tr>
        <w:tblPrEx>
          <w:tblCellMar>
            <w:top w:w="0" w:type="dxa"/>
            <w:left w:w="108" w:type="dxa"/>
            <w:bottom w:w="0" w:type="dxa"/>
            <w:right w:w="108" w:type="dxa"/>
          </w:tblCellMar>
        </w:tblPrEx>
        <w:trPr>
          <w:trHeight w:val="300" w:hRule="atLeast"/>
          <w:jc w:val="center"/>
        </w:trPr>
        <w:tc>
          <w:tcPr>
            <w:tcW w:w="2620" w:type="dxa"/>
            <w:tcBorders>
              <w:top w:val="nil"/>
              <w:left w:val="single" w:color="auto" w:sz="8" w:space="0"/>
              <w:bottom w:val="single" w:color="auto" w:sz="8"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微信咨询</w:t>
            </w:r>
          </w:p>
        </w:tc>
      </w:tr>
    </w:tbl>
    <w:p>
      <w:pPr>
        <w:spacing w:line="360" w:lineRule="auto"/>
        <w:rPr>
          <w:b/>
          <w:szCs w:val="21"/>
        </w:rPr>
      </w:pPr>
    </w:p>
    <w:p>
      <w:pPr>
        <w:widowControl/>
        <w:adjustRightInd w:val="0"/>
        <w:snapToGrid w:val="0"/>
        <w:spacing w:after="200" w:line="360" w:lineRule="auto"/>
        <w:jc w:val="center"/>
        <w:rPr>
          <w:rFonts w:ascii="微软雅黑" w:hAnsi="微软雅黑" w:eastAsia="微软雅黑"/>
          <w:b/>
          <w:szCs w:val="21"/>
        </w:rPr>
      </w:pPr>
    </w:p>
    <w:p>
      <w:pPr>
        <w:widowControl/>
        <w:adjustRightInd w:val="0"/>
        <w:snapToGrid w:val="0"/>
        <w:spacing w:after="200" w:line="360" w:lineRule="auto"/>
        <w:jc w:val="center"/>
        <w:rPr>
          <w:rFonts w:ascii="微软雅黑" w:hAnsi="微软雅黑" w:eastAsia="微软雅黑"/>
          <w:b/>
          <w:szCs w:val="21"/>
        </w:rPr>
      </w:pP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信息服务</w:t>
      </w:r>
    </w:p>
    <w:tbl>
      <w:tblPr>
        <w:tblStyle w:val="8"/>
        <w:tblW w:w="4421" w:type="dxa"/>
        <w:jc w:val="center"/>
        <w:tblLayout w:type="autofit"/>
        <w:tblCellMar>
          <w:top w:w="0" w:type="dxa"/>
          <w:left w:w="108" w:type="dxa"/>
          <w:bottom w:w="0" w:type="dxa"/>
          <w:right w:w="108" w:type="dxa"/>
        </w:tblCellMar>
      </w:tblPr>
      <w:tblGrid>
        <w:gridCol w:w="724"/>
        <w:gridCol w:w="2476"/>
        <w:gridCol w:w="1221"/>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品  名</w:t>
            </w:r>
          </w:p>
        </w:tc>
        <w:tc>
          <w:tcPr>
            <w:tcW w:w="1221"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数量</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解答咨询</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550条</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代检索课题</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 xml:space="preserve"> 141项</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3</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编制二、三次文献</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2种</w:t>
            </w:r>
          </w:p>
        </w:tc>
      </w:tr>
    </w:tbl>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专题咨询</w:t>
      </w:r>
    </w:p>
    <w:tbl>
      <w:tblPr>
        <w:tblStyle w:val="8"/>
        <w:tblW w:w="5238" w:type="dxa"/>
        <w:jc w:val="center"/>
        <w:tblLayout w:type="autofit"/>
        <w:tblCellMar>
          <w:top w:w="0" w:type="dxa"/>
          <w:left w:w="108" w:type="dxa"/>
          <w:bottom w:w="0" w:type="dxa"/>
          <w:right w:w="108" w:type="dxa"/>
        </w:tblCellMar>
      </w:tblPr>
      <w:tblGrid>
        <w:gridCol w:w="1553"/>
        <w:gridCol w:w="2126"/>
        <w:gridCol w:w="1559"/>
      </w:tblGrid>
      <w:tr>
        <w:tblPrEx>
          <w:tblCellMar>
            <w:top w:w="0" w:type="dxa"/>
            <w:left w:w="108" w:type="dxa"/>
            <w:bottom w:w="0" w:type="dxa"/>
            <w:right w:w="108" w:type="dxa"/>
          </w:tblCellMar>
        </w:tblPrEx>
        <w:trPr>
          <w:trHeight w:val="285" w:hRule="atLeast"/>
          <w:jc w:val="center"/>
        </w:trPr>
        <w:tc>
          <w:tcPr>
            <w:tcW w:w="1553" w:type="dxa"/>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2126"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时 间</w:t>
            </w:r>
          </w:p>
        </w:tc>
        <w:tc>
          <w:tcPr>
            <w:tcW w:w="1559" w:type="dxa"/>
            <w:tcBorders>
              <w:top w:val="single" w:color="auto" w:sz="8" w:space="0"/>
              <w:left w:val="nil"/>
              <w:bottom w:val="single" w:color="auto" w:sz="4" w:space="0"/>
              <w:right w:val="single" w:color="auto" w:sz="8"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地 点</w:t>
            </w:r>
          </w:p>
        </w:tc>
      </w:tr>
      <w:tr>
        <w:tblPrEx>
          <w:tblCellMar>
            <w:top w:w="0" w:type="dxa"/>
            <w:left w:w="108" w:type="dxa"/>
            <w:bottom w:w="0" w:type="dxa"/>
            <w:right w:w="108" w:type="dxa"/>
          </w:tblCellMar>
        </w:tblPrEx>
        <w:trPr>
          <w:trHeight w:val="585" w:hRule="atLeast"/>
          <w:jc w:val="center"/>
        </w:trPr>
        <w:tc>
          <w:tcPr>
            <w:tcW w:w="1553"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法律咨询</w:t>
            </w:r>
          </w:p>
        </w:tc>
        <w:tc>
          <w:tcPr>
            <w:tcW w:w="2126" w:type="dxa"/>
            <w:tcBorders>
              <w:top w:val="nil"/>
              <w:left w:val="nil"/>
              <w:bottom w:val="single" w:color="auto" w:sz="8" w:space="0"/>
              <w:right w:val="single" w:color="auto"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 xml:space="preserve">每周六下午    </w:t>
            </w:r>
          </w:p>
          <w:p>
            <w:pPr>
              <w:spacing w:line="360" w:lineRule="auto"/>
              <w:jc w:val="center"/>
              <w:rPr>
                <w:rFonts w:eastAsia="宋体" w:cs="Tahoma"/>
                <w:color w:val="000000"/>
              </w:rPr>
            </w:pPr>
            <w:r>
              <w:rPr>
                <w:rFonts w:ascii="宋体" w:hAnsi="宋体" w:eastAsia="宋体" w:cs="宋体"/>
                <w:color w:val="000000"/>
                <w:sz w:val="20"/>
                <w:szCs w:val="20"/>
              </w:rPr>
              <w:t>13</w:t>
            </w:r>
            <w:r>
              <w:rPr>
                <w:rFonts w:hint="eastAsia" w:ascii="宋体" w:hAnsi="宋体" w:eastAsia="宋体" w:cs="宋体"/>
                <w:color w:val="000000"/>
                <w:sz w:val="20"/>
                <w:szCs w:val="20"/>
              </w:rPr>
              <w:t>：</w:t>
            </w:r>
            <w:r>
              <w:rPr>
                <w:rFonts w:ascii="宋体" w:hAnsi="宋体" w:eastAsia="宋体" w:cs="宋体"/>
                <w:color w:val="000000"/>
                <w:sz w:val="20"/>
                <w:szCs w:val="20"/>
              </w:rPr>
              <w:t>00-15</w:t>
            </w:r>
            <w:r>
              <w:rPr>
                <w:rFonts w:hint="eastAsia" w:ascii="宋体" w:hAnsi="宋体" w:eastAsia="宋体" w:cs="宋体"/>
                <w:color w:val="000000"/>
                <w:sz w:val="20"/>
                <w:szCs w:val="20"/>
              </w:rPr>
              <w:t>：</w:t>
            </w:r>
            <w:r>
              <w:rPr>
                <w:rFonts w:ascii="宋体" w:hAnsi="宋体" w:eastAsia="宋体" w:cs="宋体"/>
                <w:color w:val="000000"/>
                <w:sz w:val="20"/>
                <w:szCs w:val="20"/>
              </w:rPr>
              <w:t>00</w:t>
            </w:r>
          </w:p>
        </w:tc>
        <w:tc>
          <w:tcPr>
            <w:tcW w:w="1559" w:type="dxa"/>
            <w:tcBorders>
              <w:top w:val="nil"/>
              <w:left w:val="nil"/>
              <w:bottom w:val="single" w:color="auto" w:sz="8"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本馆一楼</w:t>
            </w:r>
          </w:p>
        </w:tc>
      </w:tr>
    </w:tbl>
    <w:p>
      <w:pPr>
        <w:spacing w:line="360" w:lineRule="auto"/>
        <w:rPr>
          <w:rFonts w:hint="eastAsia" w:ascii="微软雅黑" w:hAnsi="微软雅黑" w:eastAsia="微软雅黑"/>
          <w:b/>
          <w:szCs w:val="21"/>
        </w:rPr>
      </w:pPr>
    </w:p>
    <w:p>
      <w:pPr>
        <w:spacing w:line="360" w:lineRule="auto"/>
        <w:rPr>
          <w:rFonts w:ascii="微软雅黑" w:hAnsi="微软雅黑" w:eastAsia="微软雅黑"/>
          <w:b/>
          <w:szCs w:val="21"/>
        </w:rPr>
      </w:pPr>
      <w:r>
        <w:rPr>
          <w:rFonts w:ascii="微软雅黑" w:hAnsi="微软雅黑" w:eastAsia="微软雅黑"/>
          <w:b/>
          <w:szCs w:val="21"/>
        </w:rPr>
        <w:t>6</w:t>
      </w:r>
      <w:r>
        <w:rPr>
          <w:rFonts w:hint="eastAsia" w:ascii="微软雅黑" w:hAnsi="微软雅黑" w:eastAsia="微软雅黑"/>
          <w:b/>
          <w:szCs w:val="21"/>
        </w:rPr>
        <w:t>. 读者活动</w:t>
      </w:r>
    </w:p>
    <w:tbl>
      <w:tblPr>
        <w:tblStyle w:val="8"/>
        <w:tblW w:w="5000" w:type="pct"/>
        <w:tblInd w:w="0" w:type="dxa"/>
        <w:tblLayout w:type="fixed"/>
        <w:tblCellMar>
          <w:top w:w="0" w:type="dxa"/>
          <w:left w:w="108" w:type="dxa"/>
          <w:bottom w:w="0" w:type="dxa"/>
          <w:right w:w="108" w:type="dxa"/>
        </w:tblCellMar>
      </w:tblPr>
      <w:tblGrid>
        <w:gridCol w:w="6345"/>
        <w:gridCol w:w="1224"/>
        <w:gridCol w:w="953"/>
      </w:tblGrid>
      <w:tr>
        <w:tblPrEx>
          <w:tblCellMar>
            <w:top w:w="0" w:type="dxa"/>
            <w:left w:w="108" w:type="dxa"/>
            <w:bottom w:w="0" w:type="dxa"/>
            <w:right w:w="108" w:type="dxa"/>
          </w:tblCellMar>
        </w:tblPrEx>
        <w:trPr>
          <w:trHeight w:val="499" w:hRule="atLeast"/>
        </w:trPr>
        <w:tc>
          <w:tcPr>
            <w:tcW w:w="3723"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读者活动</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场次</w:t>
            </w:r>
          </w:p>
        </w:tc>
        <w:tc>
          <w:tcPr>
            <w:tcW w:w="55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人次</w:t>
            </w:r>
          </w:p>
        </w:tc>
      </w:tr>
      <w:tr>
        <w:tblPrEx>
          <w:tblCellMar>
            <w:top w:w="0" w:type="dxa"/>
            <w:left w:w="108" w:type="dxa"/>
            <w:bottom w:w="0" w:type="dxa"/>
            <w:right w:w="108" w:type="dxa"/>
          </w:tblCellMar>
        </w:tblPrEx>
        <w:trPr>
          <w:trHeight w:val="499" w:hRule="atLeast"/>
        </w:trPr>
        <w:tc>
          <w:tcPr>
            <w:tcW w:w="3723"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公益文化讲座</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15</w:t>
            </w:r>
          </w:p>
        </w:tc>
        <w:tc>
          <w:tcPr>
            <w:tcW w:w="55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1,038</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闵图妈妈小屋</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31</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1,664</w:t>
            </w:r>
          </w:p>
        </w:tc>
      </w:tr>
      <w:tr>
        <w:tblPrEx>
          <w:tblCellMar>
            <w:top w:w="0" w:type="dxa"/>
            <w:left w:w="108" w:type="dxa"/>
            <w:bottom w:w="0" w:type="dxa"/>
            <w:right w:w="108" w:type="dxa"/>
          </w:tblCellMar>
        </w:tblPrEx>
        <w:trPr>
          <w:trHeight w:val="499" w:hRule="atLeast"/>
        </w:trPr>
        <w:tc>
          <w:tcPr>
            <w:tcW w:w="3723"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敏读会</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34</w:t>
            </w:r>
          </w:p>
        </w:tc>
        <w:tc>
          <w:tcPr>
            <w:tcW w:w="559"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1,932</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阅读马拉松</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141</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bookmarkStart w:id="1" w:name="OLE_LINK19"/>
            <w:r>
              <w:rPr>
                <w:rFonts w:hint="eastAsia" w:ascii="宋体" w:hAnsi="宋体" w:cs="宋体"/>
                <w:szCs w:val="21"/>
              </w:rPr>
              <w:t>亲子朗读声音档案大征集</w:t>
            </w:r>
            <w:bookmarkEnd w:id="1"/>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4</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1443</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英语角</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42</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564</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摄影技艺交流</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1班次</w:t>
            </w:r>
          </w:p>
          <w:p>
            <w:pPr>
              <w:jc w:val="center"/>
              <w:rPr>
                <w:rFonts w:ascii="宋体" w:hAnsi="宋体" w:cs="宋体"/>
                <w:szCs w:val="21"/>
              </w:rPr>
            </w:pPr>
            <w:r>
              <w:rPr>
                <w:rFonts w:hint="eastAsia" w:ascii="宋体" w:hAnsi="宋体" w:cs="宋体"/>
                <w:szCs w:val="21"/>
              </w:rPr>
              <w:t>（23场次）</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477</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数码图片处理沙龙</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1班次</w:t>
            </w:r>
          </w:p>
          <w:p>
            <w:pPr>
              <w:jc w:val="center"/>
              <w:rPr>
                <w:rFonts w:ascii="宋体" w:hAnsi="宋体" w:cs="宋体"/>
                <w:szCs w:val="21"/>
              </w:rPr>
            </w:pPr>
            <w:r>
              <w:rPr>
                <w:rFonts w:hint="eastAsia" w:ascii="宋体" w:hAnsi="宋体" w:cs="宋体"/>
                <w:szCs w:val="21"/>
              </w:rPr>
              <w:t>（21场次）</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454</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数字素养</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6</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38</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《公共文化图书馆法》展览</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3000</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“牡丹亭在当代”非遗展览</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10000</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韬奋生平事迹展</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59"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15000</w:t>
            </w:r>
          </w:p>
        </w:tc>
      </w:tr>
      <w:tr>
        <w:tblPrEx>
          <w:tblCellMar>
            <w:top w:w="0" w:type="dxa"/>
            <w:left w:w="108" w:type="dxa"/>
            <w:bottom w:w="0" w:type="dxa"/>
            <w:right w:w="108" w:type="dxa"/>
          </w:tblCellMar>
        </w:tblPrEx>
        <w:trPr>
          <w:trHeight w:val="499" w:hRule="atLeast"/>
        </w:trPr>
        <w:tc>
          <w:tcPr>
            <w:tcW w:w="3723" w:type="pct"/>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总计</w:t>
            </w:r>
          </w:p>
        </w:tc>
        <w:tc>
          <w:tcPr>
            <w:tcW w:w="71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139</w:t>
            </w:r>
          </w:p>
        </w:tc>
        <w:tc>
          <w:tcPr>
            <w:tcW w:w="559"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35,751</w:t>
            </w:r>
          </w:p>
        </w:tc>
      </w:tr>
    </w:tbl>
    <w:p>
      <w:pPr>
        <w:widowControl/>
        <w:adjustRightInd w:val="0"/>
        <w:snapToGrid w:val="0"/>
        <w:spacing w:after="200" w:line="360" w:lineRule="auto"/>
        <w:jc w:val="left"/>
        <w:rPr>
          <w:rFonts w:ascii="微软雅黑" w:hAnsi="微软雅黑" w:eastAsia="微软雅黑"/>
          <w:b/>
          <w:szCs w:val="21"/>
        </w:rPr>
      </w:pPr>
    </w:p>
    <w:p>
      <w:pPr>
        <w:widowControl/>
        <w:adjustRightInd w:val="0"/>
        <w:snapToGrid w:val="0"/>
        <w:spacing w:after="200" w:line="360" w:lineRule="auto"/>
        <w:jc w:val="left"/>
        <w:rPr>
          <w:rFonts w:ascii="微软雅黑" w:hAnsi="微软雅黑" w:eastAsia="微软雅黑"/>
          <w:b/>
          <w:szCs w:val="21"/>
        </w:rPr>
      </w:pPr>
      <w:r>
        <w:rPr>
          <w:rFonts w:ascii="微软雅黑" w:hAnsi="微软雅黑" w:eastAsia="微软雅黑"/>
          <w:b/>
          <w:szCs w:val="21"/>
        </w:rPr>
        <w:t>7</w:t>
      </w:r>
      <w:r>
        <w:rPr>
          <w:rFonts w:hint="eastAsia" w:ascii="微软雅黑" w:hAnsi="微软雅黑" w:eastAsia="微软雅黑"/>
          <w:b/>
          <w:szCs w:val="21"/>
        </w:rPr>
        <w:t>. 志愿者活动</w:t>
      </w:r>
    </w:p>
    <w:tbl>
      <w:tblPr>
        <w:tblStyle w:val="8"/>
        <w:tblW w:w="7694" w:type="dxa"/>
        <w:jc w:val="center"/>
        <w:tblLayout w:type="autofit"/>
        <w:tblCellMar>
          <w:top w:w="0" w:type="dxa"/>
          <w:left w:w="108" w:type="dxa"/>
          <w:bottom w:w="0" w:type="dxa"/>
          <w:right w:w="108" w:type="dxa"/>
        </w:tblCellMar>
      </w:tblPr>
      <w:tblGrid>
        <w:gridCol w:w="3162"/>
        <w:gridCol w:w="1437"/>
        <w:gridCol w:w="1080"/>
        <w:gridCol w:w="2015"/>
      </w:tblGrid>
      <w:tr>
        <w:tblPrEx>
          <w:tblCellMar>
            <w:top w:w="0" w:type="dxa"/>
            <w:left w:w="108" w:type="dxa"/>
            <w:bottom w:w="0" w:type="dxa"/>
            <w:right w:w="108" w:type="dxa"/>
          </w:tblCellMar>
        </w:tblPrEx>
        <w:trPr>
          <w:trHeight w:val="285"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活动名称</w:t>
            </w:r>
          </w:p>
        </w:tc>
        <w:tc>
          <w:tcPr>
            <w:tcW w:w="1437"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参与人数</w:t>
            </w:r>
          </w:p>
        </w:tc>
        <w:tc>
          <w:tcPr>
            <w:tcW w:w="1080"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人次</w:t>
            </w:r>
          </w:p>
        </w:tc>
        <w:tc>
          <w:tcPr>
            <w:tcW w:w="2015"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服务时长（小时）</w:t>
            </w:r>
          </w:p>
        </w:tc>
      </w:tr>
      <w:tr>
        <w:tblPrEx>
          <w:tblCellMar>
            <w:top w:w="0" w:type="dxa"/>
            <w:left w:w="108" w:type="dxa"/>
            <w:bottom w:w="0" w:type="dxa"/>
            <w:right w:w="108" w:type="dxa"/>
          </w:tblCellMar>
        </w:tblPrEx>
        <w:trPr>
          <w:trHeight w:val="499"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活动助理（公益讲座）</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23</w:t>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24</w:t>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150</w:t>
            </w:r>
          </w:p>
        </w:tc>
      </w:tr>
      <w:tr>
        <w:tblPrEx>
          <w:tblCellMar>
            <w:top w:w="0" w:type="dxa"/>
            <w:left w:w="108" w:type="dxa"/>
            <w:bottom w:w="0" w:type="dxa"/>
            <w:right w:w="108" w:type="dxa"/>
          </w:tblCellMar>
        </w:tblPrEx>
        <w:trPr>
          <w:trHeight w:val="499"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活动助理（敏读会）</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37</w:t>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52</w:t>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312</w:t>
            </w:r>
          </w:p>
        </w:tc>
      </w:tr>
      <w:tr>
        <w:tblPrEx>
          <w:tblCellMar>
            <w:top w:w="0" w:type="dxa"/>
            <w:left w:w="108" w:type="dxa"/>
            <w:bottom w:w="0" w:type="dxa"/>
            <w:right w:w="108" w:type="dxa"/>
          </w:tblCellMar>
        </w:tblPrEx>
        <w:trPr>
          <w:trHeight w:val="499"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活动助理（英语角）</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33</w:t>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43</w:t>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167</w:t>
            </w:r>
          </w:p>
        </w:tc>
      </w:tr>
      <w:tr>
        <w:tblPrEx>
          <w:tblCellMar>
            <w:top w:w="0" w:type="dxa"/>
            <w:left w:w="108" w:type="dxa"/>
            <w:bottom w:w="0" w:type="dxa"/>
            <w:right w:w="108" w:type="dxa"/>
          </w:tblCellMar>
        </w:tblPrEx>
        <w:trPr>
          <w:trHeight w:val="499"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活动助理（阅读马拉松）</w:t>
            </w:r>
          </w:p>
        </w:tc>
        <w:tc>
          <w:tcPr>
            <w:tcW w:w="14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6</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6</w:t>
            </w:r>
          </w:p>
        </w:tc>
        <w:tc>
          <w:tcPr>
            <w:tcW w:w="20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48</w:t>
            </w:r>
          </w:p>
        </w:tc>
      </w:tr>
      <w:tr>
        <w:tblPrEx>
          <w:tblCellMar>
            <w:top w:w="0" w:type="dxa"/>
            <w:left w:w="108" w:type="dxa"/>
            <w:bottom w:w="0" w:type="dxa"/>
            <w:right w:w="108" w:type="dxa"/>
          </w:tblCellMar>
        </w:tblPrEx>
        <w:trPr>
          <w:trHeight w:val="499"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阵地服务</w:t>
            </w:r>
          </w:p>
        </w:tc>
        <w:tc>
          <w:tcPr>
            <w:tcW w:w="14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242</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969</w:t>
            </w:r>
          </w:p>
        </w:tc>
        <w:tc>
          <w:tcPr>
            <w:tcW w:w="20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7424</w:t>
            </w:r>
          </w:p>
        </w:tc>
      </w:tr>
      <w:tr>
        <w:tblPrEx>
          <w:tblCellMar>
            <w:top w:w="0" w:type="dxa"/>
            <w:left w:w="108" w:type="dxa"/>
            <w:bottom w:w="0" w:type="dxa"/>
            <w:right w:w="108" w:type="dxa"/>
          </w:tblCellMar>
        </w:tblPrEx>
        <w:trPr>
          <w:trHeight w:val="499"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合计</w:t>
            </w:r>
          </w:p>
        </w:tc>
        <w:tc>
          <w:tcPr>
            <w:tcW w:w="143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=SUM(ABOVE)</w:instrText>
            </w:r>
            <w:r>
              <w:rPr>
                <w:rFonts w:ascii="宋体" w:hAnsi="宋体" w:cs="宋体"/>
                <w:szCs w:val="21"/>
              </w:rPr>
              <w:instrText xml:space="preserve"> </w:instrText>
            </w:r>
            <w:r>
              <w:rPr>
                <w:rFonts w:ascii="宋体" w:hAnsi="宋体" w:cs="宋体"/>
                <w:szCs w:val="21"/>
              </w:rPr>
              <w:fldChar w:fldCharType="separate"/>
            </w:r>
            <w:r>
              <w:rPr>
                <w:rFonts w:ascii="宋体" w:hAnsi="宋体" w:cs="宋体"/>
                <w:szCs w:val="21"/>
              </w:rPr>
              <w:t>341</w:t>
            </w:r>
            <w:r>
              <w:rPr>
                <w:rFonts w:ascii="宋体" w:hAnsi="宋体" w:cs="宋体"/>
                <w:szCs w:val="21"/>
              </w:rPr>
              <w:fldChar w:fldCharType="end"/>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1094</w:t>
            </w:r>
          </w:p>
        </w:tc>
        <w:tc>
          <w:tcPr>
            <w:tcW w:w="20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=SUM(ABOVE)</w:instrText>
            </w:r>
            <w:r>
              <w:rPr>
                <w:rFonts w:ascii="宋体" w:hAnsi="宋体" w:cs="宋体"/>
                <w:szCs w:val="21"/>
              </w:rPr>
              <w:instrText xml:space="preserve"> </w:instrText>
            </w:r>
            <w:r>
              <w:rPr>
                <w:rFonts w:ascii="宋体" w:hAnsi="宋体" w:cs="宋体"/>
                <w:szCs w:val="21"/>
              </w:rPr>
              <w:fldChar w:fldCharType="separate"/>
            </w:r>
            <w:r>
              <w:rPr>
                <w:rFonts w:ascii="宋体" w:hAnsi="宋体" w:cs="宋体"/>
                <w:szCs w:val="21"/>
              </w:rPr>
              <w:t>8101</w:t>
            </w:r>
            <w:r>
              <w:rPr>
                <w:rFonts w:ascii="宋体" w:hAnsi="宋体" w:cs="宋体"/>
                <w:szCs w:val="21"/>
              </w:rPr>
              <w:fldChar w:fldCharType="end"/>
            </w:r>
          </w:p>
        </w:tc>
      </w:tr>
    </w:tbl>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r>
        <w:rPr>
          <w:rFonts w:ascii="微软雅黑" w:hAnsi="微软雅黑" w:eastAsia="微软雅黑"/>
          <w:b/>
          <w:szCs w:val="21"/>
        </w:rPr>
        <w:t>8</w:t>
      </w:r>
      <w:r>
        <w:rPr>
          <w:rFonts w:hint="eastAsia" w:ascii="微软雅黑" w:hAnsi="微软雅黑" w:eastAsia="微软雅黑"/>
          <w:b/>
          <w:szCs w:val="21"/>
        </w:rPr>
        <w:t>. 媒体报道</w:t>
      </w:r>
    </w:p>
    <w:tbl>
      <w:tblPr>
        <w:tblStyle w:val="9"/>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3510"/>
        <w:gridCol w:w="1701"/>
        <w:gridCol w:w="141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宣传</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日期</w:t>
            </w:r>
          </w:p>
        </w:tc>
        <w:tc>
          <w:tcPr>
            <w:tcW w:w="3510"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主题（名称）</w:t>
            </w:r>
          </w:p>
        </w:tc>
        <w:tc>
          <w:tcPr>
            <w:tcW w:w="1701"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宣传内容</w:t>
            </w:r>
          </w:p>
        </w:tc>
        <w:tc>
          <w:tcPr>
            <w:tcW w:w="1418"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媒体名称</w:t>
            </w:r>
          </w:p>
        </w:tc>
        <w:tc>
          <w:tcPr>
            <w:tcW w:w="992"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媒体类型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8月19日</w:t>
            </w:r>
          </w:p>
        </w:tc>
        <w:tc>
          <w:tcPr>
            <w:tcW w:w="3510" w:type="dxa"/>
            <w:vAlign w:val="center"/>
          </w:tcPr>
          <w:p>
            <w:pPr>
              <w:spacing w:line="360" w:lineRule="auto"/>
              <w:rPr>
                <w:rFonts w:ascii="宋体" w:hAnsi="宋体" w:eastAsia="宋体" w:cs="Tahoma"/>
                <w:color w:val="000000"/>
              </w:rPr>
            </w:pPr>
            <w:r>
              <w:rPr>
                <w:rFonts w:hint="eastAsia" w:ascii="宋体" w:hAnsi="宋体" w:eastAsia="宋体" w:cs="Tahoma"/>
                <w:color w:val="000000"/>
              </w:rPr>
              <w:t>这个周末，上海书展里的琅琅书声，让阅读变得更有温度</w:t>
            </w:r>
          </w:p>
        </w:tc>
        <w:tc>
          <w:tcPr>
            <w:tcW w:w="1701"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亲子朗读</w:t>
            </w:r>
          </w:p>
        </w:tc>
        <w:tc>
          <w:tcPr>
            <w:tcW w:w="1418"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文汇报</w:t>
            </w:r>
          </w:p>
        </w:tc>
        <w:tc>
          <w:tcPr>
            <w:tcW w:w="992"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8月19日</w:t>
            </w:r>
          </w:p>
        </w:tc>
        <w:tc>
          <w:tcPr>
            <w:tcW w:w="3510" w:type="dxa"/>
            <w:vAlign w:val="center"/>
          </w:tcPr>
          <w:p>
            <w:pPr>
              <w:spacing w:line="360" w:lineRule="auto"/>
              <w:rPr>
                <w:rFonts w:ascii="宋体" w:hAnsi="宋体" w:eastAsia="宋体" w:cs="Tahoma"/>
                <w:color w:val="000000"/>
              </w:rPr>
            </w:pPr>
            <w:r>
              <w:rPr>
                <w:rFonts w:hint="eastAsia" w:ascii="宋体" w:hAnsi="宋体" w:eastAsia="宋体" w:cs="Tahoma"/>
                <w:color w:val="000000"/>
              </w:rPr>
              <w:t>第四届“亲子朗读”亮相上海书展：爸爸们更多了</w:t>
            </w:r>
          </w:p>
        </w:tc>
        <w:tc>
          <w:tcPr>
            <w:tcW w:w="1701"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亲子朗读</w:t>
            </w:r>
          </w:p>
        </w:tc>
        <w:tc>
          <w:tcPr>
            <w:tcW w:w="1418"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新民晚报</w:t>
            </w:r>
          </w:p>
        </w:tc>
        <w:tc>
          <w:tcPr>
            <w:tcW w:w="992"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8月19日</w:t>
            </w:r>
          </w:p>
        </w:tc>
        <w:tc>
          <w:tcPr>
            <w:tcW w:w="3510" w:type="dxa"/>
            <w:vAlign w:val="center"/>
          </w:tcPr>
          <w:p>
            <w:pPr>
              <w:spacing w:line="360" w:lineRule="auto"/>
              <w:rPr>
                <w:rFonts w:ascii="宋体" w:hAnsi="宋体" w:eastAsia="宋体" w:cs="Tahoma"/>
                <w:color w:val="000000"/>
              </w:rPr>
            </w:pPr>
            <w:r>
              <w:rPr>
                <w:rFonts w:hint="eastAsia" w:ascii="宋体" w:hAnsi="宋体" w:eastAsia="宋体" w:cs="Tahoma"/>
                <w:color w:val="000000"/>
              </w:rPr>
              <w:t>4年征集4万余亲子共读音频“亲子朗读”首扩容至云南贵州</w:t>
            </w:r>
          </w:p>
        </w:tc>
        <w:tc>
          <w:tcPr>
            <w:tcW w:w="1701"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亲子朗读</w:t>
            </w:r>
          </w:p>
        </w:tc>
        <w:tc>
          <w:tcPr>
            <w:tcW w:w="1418"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新民网</w:t>
            </w:r>
          </w:p>
        </w:tc>
        <w:tc>
          <w:tcPr>
            <w:tcW w:w="992"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10月21日</w:t>
            </w:r>
          </w:p>
        </w:tc>
        <w:tc>
          <w:tcPr>
            <w:tcW w:w="3510" w:type="dxa"/>
            <w:vAlign w:val="center"/>
          </w:tcPr>
          <w:p>
            <w:pPr>
              <w:spacing w:line="360" w:lineRule="auto"/>
              <w:rPr>
                <w:rFonts w:ascii="宋体" w:hAnsi="宋体" w:eastAsia="宋体" w:cs="Tahoma"/>
                <w:color w:val="000000"/>
              </w:rPr>
            </w:pPr>
            <w:r>
              <w:rPr>
                <w:rFonts w:hint="eastAsia" w:ascii="宋体" w:hAnsi="宋体" w:eastAsia="宋体" w:cs="Tahoma"/>
                <w:color w:val="000000"/>
              </w:rPr>
              <w:t>有这样一群父母，坚持和孩子一起朗读，四年里积累了4.8万份音频</w:t>
            </w:r>
          </w:p>
        </w:tc>
        <w:tc>
          <w:tcPr>
            <w:tcW w:w="1701"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亲子朗读</w:t>
            </w:r>
          </w:p>
        </w:tc>
        <w:tc>
          <w:tcPr>
            <w:tcW w:w="1418"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文汇报</w:t>
            </w:r>
          </w:p>
        </w:tc>
        <w:tc>
          <w:tcPr>
            <w:tcW w:w="992"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11月30日</w:t>
            </w:r>
          </w:p>
        </w:tc>
        <w:tc>
          <w:tcPr>
            <w:tcW w:w="3510" w:type="dxa"/>
            <w:vAlign w:val="center"/>
          </w:tcPr>
          <w:p>
            <w:pPr>
              <w:spacing w:line="360" w:lineRule="auto"/>
              <w:rPr>
                <w:rFonts w:ascii="宋体" w:hAnsi="宋体" w:eastAsia="宋体" w:cs="Tahoma"/>
                <w:color w:val="000000"/>
              </w:rPr>
            </w:pPr>
            <w:r>
              <w:rPr>
                <w:rFonts w:hint="eastAsia" w:ascii="宋体" w:hAnsi="宋体" w:eastAsia="宋体" w:cs="Tahoma"/>
                <w:color w:val="000000"/>
              </w:rPr>
              <w:t>今天我们晒书，晒出的不只是签名本，还有知识、寄托和友谊</w:t>
            </w:r>
          </w:p>
        </w:tc>
        <w:tc>
          <w:tcPr>
            <w:tcW w:w="1701"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晒书会活动</w:t>
            </w:r>
          </w:p>
        </w:tc>
        <w:tc>
          <w:tcPr>
            <w:tcW w:w="1418"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新民晚报</w:t>
            </w:r>
          </w:p>
        </w:tc>
        <w:tc>
          <w:tcPr>
            <w:tcW w:w="992"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12月16日</w:t>
            </w:r>
          </w:p>
        </w:tc>
        <w:tc>
          <w:tcPr>
            <w:tcW w:w="3510" w:type="dxa"/>
            <w:vAlign w:val="center"/>
          </w:tcPr>
          <w:p>
            <w:pPr>
              <w:spacing w:line="360" w:lineRule="auto"/>
              <w:rPr>
                <w:rFonts w:ascii="宋体" w:hAnsi="宋体" w:eastAsia="宋体" w:cs="Tahoma"/>
                <w:color w:val="000000"/>
              </w:rPr>
            </w:pPr>
            <w:r>
              <w:rPr>
                <w:rFonts w:hint="eastAsia" w:ascii="宋体" w:hAnsi="宋体" w:eastAsia="宋体" w:cs="Tahoma"/>
                <w:color w:val="000000"/>
              </w:rPr>
              <w:t>什么样的签名本价值高？今天“晒”签名本，晒出些什么时代意味？</w:t>
            </w:r>
          </w:p>
        </w:tc>
        <w:tc>
          <w:tcPr>
            <w:tcW w:w="1701"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晒书会活动</w:t>
            </w:r>
          </w:p>
        </w:tc>
        <w:tc>
          <w:tcPr>
            <w:tcW w:w="1418"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上观新闻</w:t>
            </w:r>
          </w:p>
        </w:tc>
        <w:tc>
          <w:tcPr>
            <w:tcW w:w="992"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310"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12月20日</w:t>
            </w:r>
          </w:p>
        </w:tc>
        <w:tc>
          <w:tcPr>
            <w:tcW w:w="3510" w:type="dxa"/>
            <w:vAlign w:val="center"/>
          </w:tcPr>
          <w:p>
            <w:pPr>
              <w:spacing w:line="360" w:lineRule="auto"/>
              <w:rPr>
                <w:rFonts w:ascii="宋体" w:hAnsi="宋体" w:eastAsia="宋体" w:cs="Tahoma"/>
                <w:color w:val="000000"/>
              </w:rPr>
            </w:pPr>
            <w:r>
              <w:rPr>
                <w:rFonts w:hint="eastAsia" w:ascii="宋体" w:hAnsi="宋体" w:eastAsia="宋体" w:cs="Tahoma"/>
                <w:color w:val="000000"/>
              </w:rPr>
              <w:t>什么样的签名本是心头好？晒书“晒”出了一串背后的故事</w:t>
            </w:r>
          </w:p>
        </w:tc>
        <w:tc>
          <w:tcPr>
            <w:tcW w:w="1701"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晒书会活动</w:t>
            </w:r>
          </w:p>
        </w:tc>
        <w:tc>
          <w:tcPr>
            <w:tcW w:w="1418"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文汇报</w:t>
            </w:r>
          </w:p>
        </w:tc>
        <w:tc>
          <w:tcPr>
            <w:tcW w:w="992"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 xml:space="preserve">报纸 </w:t>
            </w:r>
          </w:p>
        </w:tc>
      </w:tr>
    </w:tbl>
    <w:p>
      <w:pPr>
        <w:spacing w:line="360" w:lineRule="auto"/>
        <w:rPr>
          <w:szCs w:val="21"/>
        </w:rPr>
      </w:pPr>
    </w:p>
    <w:p>
      <w:pPr>
        <w:spacing w:line="360" w:lineRule="auto"/>
        <w:rPr>
          <w:szCs w:val="21"/>
        </w:rPr>
      </w:pPr>
    </w:p>
    <w:p>
      <w:pPr>
        <w:pStyle w:val="14"/>
        <w:numPr>
          <w:ilvl w:val="0"/>
          <w:numId w:val="3"/>
        </w:numPr>
        <w:spacing w:line="360" w:lineRule="auto"/>
        <w:ind w:firstLineChars="0"/>
        <w:jc w:val="center"/>
        <w:rPr>
          <w:rFonts w:ascii="微软雅黑" w:hAnsi="微软雅黑" w:eastAsia="微软雅黑"/>
          <w:b/>
          <w:sz w:val="24"/>
          <w:szCs w:val="24"/>
        </w:rPr>
      </w:pPr>
      <w:r>
        <w:rPr>
          <w:rFonts w:hint="eastAsia" w:ascii="微软雅黑" w:hAnsi="微软雅黑" w:eastAsia="微软雅黑"/>
          <w:b/>
          <w:sz w:val="24"/>
          <w:szCs w:val="24"/>
        </w:rPr>
        <w:t>获得表彰</w:t>
      </w:r>
    </w:p>
    <w:p>
      <w:pPr>
        <w:spacing w:line="450" w:lineRule="exact"/>
        <w:rPr>
          <w:rFonts w:ascii="宋体" w:hAnsi="宋体" w:eastAsia="宋体"/>
          <w:szCs w:val="21"/>
        </w:rPr>
      </w:pPr>
      <w:r>
        <w:rPr>
          <w:rFonts w:hint="eastAsia" w:ascii="宋体" w:hAnsi="宋体" w:eastAsia="宋体"/>
          <w:szCs w:val="21"/>
        </w:rPr>
        <w:t>1、胡莹荣获《儿童阅读推广中区域协作与社会资源的融合应用——以上海市闵行区图书馆为例》在区域协作与图书馆可持续发展讨论会征文活动中论文荣获一等奖</w:t>
      </w:r>
    </w:p>
    <w:p>
      <w:pPr>
        <w:spacing w:line="450" w:lineRule="exact"/>
        <w:rPr>
          <w:rFonts w:ascii="宋体" w:hAnsi="宋体" w:eastAsia="宋体"/>
          <w:szCs w:val="21"/>
        </w:rPr>
      </w:pPr>
      <w:r>
        <w:rPr>
          <w:rFonts w:hint="eastAsia" w:ascii="宋体" w:hAnsi="宋体" w:eastAsia="宋体"/>
          <w:szCs w:val="21"/>
        </w:rPr>
        <w:t>——中国图书馆学会2018年10月</w:t>
      </w:r>
    </w:p>
    <w:p>
      <w:pPr>
        <w:spacing w:line="450" w:lineRule="exact"/>
        <w:rPr>
          <w:rFonts w:ascii="宋体" w:hAnsi="宋体" w:eastAsia="宋体"/>
          <w:szCs w:val="21"/>
        </w:rPr>
      </w:pPr>
      <w:r>
        <w:rPr>
          <w:rFonts w:hint="eastAsia" w:ascii="宋体" w:hAnsi="宋体" w:eastAsia="宋体"/>
          <w:szCs w:val="21"/>
        </w:rPr>
        <w:t xml:space="preserve">2、范丽萍荣获荣获“ 2018全国少年儿童阅读年系列活动推荐单位先进工作者”称号 </w:t>
      </w:r>
    </w:p>
    <w:p>
      <w:pPr>
        <w:spacing w:line="450" w:lineRule="exact"/>
        <w:rPr>
          <w:rFonts w:ascii="宋体" w:hAnsi="宋体" w:eastAsia="宋体"/>
          <w:szCs w:val="21"/>
        </w:rPr>
      </w:pPr>
      <w:r>
        <w:rPr>
          <w:rFonts w:hint="eastAsia" w:ascii="宋体" w:hAnsi="宋体" w:eastAsia="宋体"/>
          <w:szCs w:val="21"/>
        </w:rPr>
        <w:t>——中国图书馆学会2018年12月</w:t>
      </w:r>
    </w:p>
    <w:p>
      <w:pPr>
        <w:spacing w:line="450" w:lineRule="exact"/>
        <w:rPr>
          <w:rFonts w:ascii="宋体" w:hAnsi="宋体" w:eastAsia="宋体"/>
          <w:szCs w:val="21"/>
        </w:rPr>
      </w:pPr>
      <w:r>
        <w:rPr>
          <w:rFonts w:hint="eastAsia" w:ascii="宋体" w:hAnsi="宋体" w:eastAsia="宋体"/>
          <w:szCs w:val="21"/>
        </w:rPr>
        <w:t>3、胡莹荣获《公共图书馆阅读推广多元合作模式的探索》荣获2018年中小型公共图书馆联合会研讨会论文一等奖</w:t>
      </w:r>
    </w:p>
    <w:p>
      <w:pPr>
        <w:spacing w:line="450" w:lineRule="exact"/>
        <w:rPr>
          <w:rFonts w:ascii="宋体" w:hAnsi="宋体" w:eastAsia="宋体"/>
          <w:szCs w:val="21"/>
        </w:rPr>
      </w:pPr>
      <w:r>
        <w:rPr>
          <w:rFonts w:hint="eastAsia" w:ascii="宋体" w:hAnsi="宋体" w:eastAsia="宋体"/>
          <w:szCs w:val="21"/>
        </w:rPr>
        <w:t>——全民阅读促进委员会、中小型公共图书馆联合会等2018年10月</w:t>
      </w:r>
    </w:p>
    <w:p>
      <w:pPr>
        <w:spacing w:line="450" w:lineRule="exact"/>
        <w:rPr>
          <w:rFonts w:ascii="宋体" w:hAnsi="宋体" w:eastAsia="宋体"/>
          <w:szCs w:val="21"/>
        </w:rPr>
      </w:pPr>
      <w:r>
        <w:rPr>
          <w:rFonts w:hint="eastAsia" w:ascii="宋体" w:hAnsi="宋体" w:eastAsia="宋体"/>
          <w:szCs w:val="21"/>
        </w:rPr>
        <w:t>4、赵佳钧荣获2017年上海市民文化节中评选中荣获“优秀工作奖”</w:t>
      </w:r>
    </w:p>
    <w:p>
      <w:pPr>
        <w:spacing w:line="450" w:lineRule="exact"/>
        <w:rPr>
          <w:rFonts w:ascii="宋体" w:hAnsi="宋体" w:eastAsia="宋体"/>
          <w:szCs w:val="21"/>
        </w:rPr>
      </w:pPr>
      <w:r>
        <w:rPr>
          <w:rFonts w:hint="eastAsia" w:ascii="宋体" w:hAnsi="宋体" w:eastAsia="宋体"/>
          <w:szCs w:val="21"/>
        </w:rPr>
        <w:t>——上海市民文化节指导委员会秘书处2018年1月</w:t>
      </w:r>
    </w:p>
    <w:p>
      <w:pPr>
        <w:spacing w:line="450" w:lineRule="exact"/>
        <w:rPr>
          <w:rFonts w:ascii="宋体" w:hAnsi="宋体" w:eastAsia="宋体"/>
          <w:szCs w:val="21"/>
        </w:rPr>
      </w:pPr>
      <w:r>
        <w:rPr>
          <w:rFonts w:hint="eastAsia" w:ascii="宋体" w:hAnsi="宋体" w:eastAsia="宋体"/>
          <w:szCs w:val="21"/>
        </w:rPr>
        <w:t>5、王晓燕荣获2016-2017年度上海市志愿服务优秀组织者</w:t>
      </w:r>
    </w:p>
    <w:p>
      <w:pPr>
        <w:spacing w:line="450" w:lineRule="exact"/>
        <w:rPr>
          <w:rFonts w:ascii="宋体" w:hAnsi="宋体" w:eastAsia="宋体"/>
          <w:szCs w:val="21"/>
        </w:rPr>
      </w:pPr>
      <w:r>
        <w:rPr>
          <w:rFonts w:hint="eastAsia" w:ascii="宋体" w:hAnsi="宋体" w:eastAsia="宋体"/>
          <w:szCs w:val="21"/>
        </w:rPr>
        <w:t>——上海市精神文明建设委员会办公室、上海志愿者协会2018年2月</w:t>
      </w:r>
    </w:p>
    <w:p>
      <w:pPr>
        <w:spacing w:line="450" w:lineRule="exact"/>
        <w:rPr>
          <w:rFonts w:ascii="宋体" w:hAnsi="宋体" w:eastAsia="宋体"/>
          <w:szCs w:val="21"/>
        </w:rPr>
      </w:pPr>
      <w:r>
        <w:rPr>
          <w:rFonts w:hint="eastAsia" w:ascii="宋体" w:hAnsi="宋体" w:eastAsia="宋体"/>
          <w:szCs w:val="21"/>
        </w:rPr>
        <w:t>6、孙莺、成雨竹荣获“敏读会”获“2018阅读推广案例分享交流会”优秀案例三等奖</w:t>
      </w:r>
    </w:p>
    <w:p>
      <w:pPr>
        <w:spacing w:line="450" w:lineRule="exact"/>
        <w:rPr>
          <w:rFonts w:ascii="宋体" w:hAnsi="宋体" w:eastAsia="宋体"/>
          <w:szCs w:val="21"/>
        </w:rPr>
      </w:pPr>
      <w:r>
        <w:rPr>
          <w:rFonts w:hint="eastAsia" w:ascii="宋体" w:hAnsi="宋体" w:eastAsia="宋体"/>
          <w:szCs w:val="21"/>
        </w:rPr>
        <w:t>——上海市图书馆学会2018年4月</w:t>
      </w:r>
    </w:p>
    <w:p>
      <w:pPr>
        <w:spacing w:line="450" w:lineRule="exact"/>
        <w:rPr>
          <w:rFonts w:ascii="宋体" w:hAnsi="宋体" w:eastAsia="宋体"/>
          <w:szCs w:val="21"/>
        </w:rPr>
      </w:pPr>
      <w:r>
        <w:rPr>
          <w:rFonts w:hint="eastAsia" w:ascii="宋体" w:hAnsi="宋体" w:eastAsia="宋体"/>
          <w:szCs w:val="21"/>
        </w:rPr>
        <w:t>7、闵行区图书馆荣获2018上海书展暨“书香中国”上海周活动策划奖</w:t>
      </w:r>
    </w:p>
    <w:p>
      <w:pPr>
        <w:spacing w:line="450" w:lineRule="exact"/>
        <w:rPr>
          <w:rFonts w:ascii="宋体" w:hAnsi="宋体" w:eastAsia="宋体"/>
          <w:szCs w:val="21"/>
        </w:rPr>
      </w:pPr>
      <w:r>
        <w:rPr>
          <w:rFonts w:hint="eastAsia" w:ascii="宋体" w:hAnsi="宋体" w:eastAsia="宋体"/>
          <w:szCs w:val="21"/>
        </w:rPr>
        <w:t>——上海书展暨“书香中国”上海组委会2018年10月</w:t>
      </w:r>
    </w:p>
    <w:p>
      <w:pPr>
        <w:spacing w:line="450" w:lineRule="exact"/>
        <w:rPr>
          <w:rFonts w:ascii="宋体" w:hAnsi="宋体" w:eastAsia="宋体"/>
          <w:szCs w:val="21"/>
        </w:rPr>
      </w:pPr>
      <w:r>
        <w:rPr>
          <w:rFonts w:hint="eastAsia" w:ascii="宋体" w:hAnsi="宋体" w:eastAsia="宋体"/>
          <w:szCs w:val="21"/>
        </w:rPr>
        <w:t>8、王晓燕荣获2016-2017年度上海市志愿服务优秀组织者</w:t>
      </w:r>
    </w:p>
    <w:p>
      <w:pPr>
        <w:spacing w:line="450" w:lineRule="exact"/>
        <w:rPr>
          <w:rFonts w:ascii="宋体" w:hAnsi="宋体" w:eastAsia="宋体"/>
          <w:szCs w:val="21"/>
        </w:rPr>
      </w:pPr>
      <w:r>
        <w:rPr>
          <w:rFonts w:hint="eastAsia" w:ascii="宋体" w:hAnsi="宋体" w:eastAsia="宋体"/>
          <w:szCs w:val="21"/>
        </w:rPr>
        <w:t>——上海少年儿童图书馆2018年10月</w:t>
      </w:r>
    </w:p>
    <w:p>
      <w:pPr>
        <w:spacing w:line="450" w:lineRule="exact"/>
        <w:rPr>
          <w:rFonts w:ascii="宋体" w:hAnsi="宋体" w:eastAsia="宋体"/>
          <w:szCs w:val="21"/>
        </w:rPr>
      </w:pPr>
      <w:r>
        <w:rPr>
          <w:rFonts w:hint="eastAsia" w:ascii="宋体" w:hAnsi="宋体" w:eastAsia="宋体"/>
          <w:szCs w:val="21"/>
        </w:rPr>
        <w:t>9、范丽萍荣获2018上海童话节优秀指导</w:t>
      </w:r>
    </w:p>
    <w:p>
      <w:pPr>
        <w:spacing w:line="450" w:lineRule="exact"/>
        <w:rPr>
          <w:rFonts w:ascii="宋体" w:hAnsi="宋体" w:eastAsia="宋体"/>
          <w:szCs w:val="21"/>
        </w:rPr>
      </w:pPr>
      <w:r>
        <w:rPr>
          <w:rFonts w:hint="eastAsia" w:ascii="宋体" w:hAnsi="宋体" w:eastAsia="宋体"/>
          <w:szCs w:val="21"/>
        </w:rPr>
        <w:t>——上海少年儿童图书馆2018年10月</w:t>
      </w:r>
    </w:p>
    <w:p>
      <w:pPr>
        <w:spacing w:line="450" w:lineRule="exact"/>
        <w:rPr>
          <w:rFonts w:ascii="宋体" w:hAnsi="宋体" w:eastAsia="宋体"/>
          <w:szCs w:val="21"/>
        </w:rPr>
      </w:pPr>
      <w:r>
        <w:rPr>
          <w:rFonts w:hint="eastAsia" w:ascii="宋体" w:hAnsi="宋体" w:eastAsia="宋体"/>
          <w:szCs w:val="21"/>
        </w:rPr>
        <w:t>10、翁章捷荣获摄影作品《长者阅读》荣获“美在职工中”——上海市中心图书馆职工书画摄影艺术展三等奖</w:t>
      </w:r>
    </w:p>
    <w:p>
      <w:pPr>
        <w:spacing w:line="450" w:lineRule="exact"/>
        <w:rPr>
          <w:rFonts w:ascii="宋体" w:hAnsi="宋体" w:eastAsia="宋体"/>
          <w:szCs w:val="21"/>
        </w:rPr>
      </w:pPr>
      <w:r>
        <w:rPr>
          <w:rFonts w:hint="eastAsia" w:ascii="宋体" w:hAnsi="宋体" w:eastAsia="宋体"/>
          <w:szCs w:val="21"/>
        </w:rPr>
        <w:t>——上海市图书馆（上海科学技术情报研究所）工会、协调辅导处2018年11月</w:t>
      </w:r>
    </w:p>
    <w:p>
      <w:pPr>
        <w:spacing w:line="450" w:lineRule="exact"/>
        <w:rPr>
          <w:rFonts w:ascii="宋体" w:hAnsi="宋体" w:eastAsia="宋体"/>
          <w:szCs w:val="21"/>
        </w:rPr>
      </w:pPr>
      <w:r>
        <w:rPr>
          <w:rFonts w:hint="eastAsia" w:ascii="宋体" w:hAnsi="宋体" w:eastAsia="宋体"/>
          <w:szCs w:val="21"/>
        </w:rPr>
        <w:t xml:space="preserve">11、林宇宙荣获摄影作品《雾色小村》荣获“美在职工中”——上海市中心图书馆职工书画摄影艺术展鼓励奖 </w:t>
      </w:r>
    </w:p>
    <w:p>
      <w:pPr>
        <w:spacing w:line="450" w:lineRule="exact"/>
        <w:rPr>
          <w:rFonts w:ascii="宋体" w:hAnsi="宋体" w:eastAsia="宋体"/>
          <w:szCs w:val="21"/>
        </w:rPr>
      </w:pPr>
      <w:r>
        <w:rPr>
          <w:rFonts w:hint="eastAsia" w:ascii="宋体" w:hAnsi="宋体" w:eastAsia="宋体"/>
          <w:szCs w:val="21"/>
        </w:rPr>
        <w:t>——上海市图书馆（上海科学技术情报研究所）工会、协调辅导处2018年11月</w:t>
      </w:r>
    </w:p>
    <w:p>
      <w:pPr>
        <w:spacing w:line="450" w:lineRule="exact"/>
        <w:rPr>
          <w:rFonts w:ascii="宋体" w:hAnsi="宋体" w:eastAsia="宋体"/>
          <w:szCs w:val="21"/>
        </w:rPr>
      </w:pPr>
      <w:r>
        <w:rPr>
          <w:rFonts w:hint="eastAsia" w:ascii="宋体" w:hAnsi="宋体" w:eastAsia="宋体"/>
          <w:szCs w:val="21"/>
        </w:rPr>
        <w:t xml:space="preserve">12、翁章捷荣获摄影作品《爷孙辈齐聚图书馆》荣获“美在职工中”——上海市中心图书馆职工书画摄影艺术展鼓励奖 </w:t>
      </w:r>
    </w:p>
    <w:p>
      <w:pPr>
        <w:spacing w:line="450" w:lineRule="exact"/>
        <w:rPr>
          <w:rFonts w:ascii="宋体" w:hAnsi="宋体" w:eastAsia="宋体"/>
          <w:szCs w:val="21"/>
        </w:rPr>
      </w:pPr>
      <w:r>
        <w:rPr>
          <w:rFonts w:hint="eastAsia" w:ascii="宋体" w:hAnsi="宋体" w:eastAsia="宋体"/>
          <w:szCs w:val="21"/>
        </w:rPr>
        <w:t>——上海市图书馆（上海科学技术情报研究所）工会、协调辅导处2018年11月</w:t>
      </w:r>
    </w:p>
    <w:p>
      <w:pPr>
        <w:spacing w:line="450" w:lineRule="exact"/>
        <w:rPr>
          <w:rFonts w:ascii="宋体" w:hAnsi="宋体" w:eastAsia="宋体"/>
          <w:szCs w:val="21"/>
        </w:rPr>
      </w:pPr>
      <w:r>
        <w:rPr>
          <w:rFonts w:hint="eastAsia" w:ascii="宋体" w:hAnsi="宋体" w:eastAsia="宋体"/>
          <w:szCs w:val="21"/>
        </w:rPr>
        <w:t>13、郑俊杰荣获摄影作品《围阅悦》荣获“美在职工中”——上海市中心图书馆职工书画摄影艺术展鼓励奖</w:t>
      </w:r>
    </w:p>
    <w:p>
      <w:pPr>
        <w:spacing w:line="450" w:lineRule="exact"/>
        <w:rPr>
          <w:rFonts w:ascii="宋体" w:hAnsi="宋体" w:eastAsia="宋体"/>
          <w:szCs w:val="21"/>
        </w:rPr>
      </w:pPr>
      <w:r>
        <w:rPr>
          <w:rFonts w:hint="eastAsia" w:ascii="宋体" w:hAnsi="宋体" w:eastAsia="宋体"/>
          <w:szCs w:val="21"/>
        </w:rPr>
        <w:t>——上海市图书馆（上海科学技术情报研究所）工会、协调辅导处2018年11月</w:t>
      </w:r>
    </w:p>
    <w:p>
      <w:pPr>
        <w:spacing w:line="450" w:lineRule="exact"/>
        <w:rPr>
          <w:rFonts w:ascii="宋体" w:hAnsi="宋体" w:eastAsia="宋体"/>
          <w:szCs w:val="21"/>
        </w:rPr>
      </w:pPr>
      <w:r>
        <w:rPr>
          <w:rFonts w:hint="eastAsia" w:ascii="宋体" w:hAnsi="宋体" w:eastAsia="宋体"/>
          <w:szCs w:val="21"/>
        </w:rPr>
        <w:t>14、翁馨荣获摄影作品《读书间》荣获“美在职工中”——上海市中心图书馆职工书画摄影艺术展二等奖</w:t>
      </w:r>
    </w:p>
    <w:p>
      <w:pPr>
        <w:spacing w:line="450" w:lineRule="exact"/>
        <w:rPr>
          <w:rFonts w:ascii="宋体" w:hAnsi="宋体" w:eastAsia="宋体"/>
          <w:szCs w:val="21"/>
        </w:rPr>
      </w:pPr>
      <w:r>
        <w:rPr>
          <w:rFonts w:hint="eastAsia" w:ascii="宋体" w:hAnsi="宋体" w:eastAsia="宋体"/>
          <w:szCs w:val="21"/>
        </w:rPr>
        <w:t>——上海市图书馆（上海科学技术情报研究所）工会、协调辅导处2018年11月</w:t>
      </w:r>
    </w:p>
    <w:p>
      <w:pPr>
        <w:spacing w:line="450" w:lineRule="exact"/>
        <w:rPr>
          <w:rFonts w:ascii="宋体" w:hAnsi="宋体" w:eastAsia="宋体"/>
          <w:szCs w:val="21"/>
        </w:rPr>
      </w:pPr>
      <w:r>
        <w:rPr>
          <w:rFonts w:hint="eastAsia" w:ascii="宋体" w:hAnsi="宋体" w:eastAsia="宋体"/>
          <w:szCs w:val="21"/>
        </w:rPr>
        <w:t>15、孙莺被聘为“网上联合知识导航站”2018-2020年度虚拟参考咨询专家</w:t>
      </w:r>
    </w:p>
    <w:p>
      <w:pPr>
        <w:spacing w:line="450" w:lineRule="exact"/>
        <w:rPr>
          <w:rFonts w:ascii="宋体" w:hAnsi="宋体" w:eastAsia="宋体"/>
          <w:szCs w:val="21"/>
        </w:rPr>
      </w:pPr>
      <w:r>
        <w:rPr>
          <w:rFonts w:hint="eastAsia" w:ascii="宋体" w:hAnsi="宋体" w:eastAsia="宋体"/>
          <w:szCs w:val="21"/>
        </w:rPr>
        <w:t>——上海图书馆读者服务中心2018年11月</w:t>
      </w:r>
    </w:p>
    <w:p>
      <w:pPr>
        <w:spacing w:line="450" w:lineRule="exact"/>
        <w:rPr>
          <w:rFonts w:ascii="宋体" w:hAnsi="宋体" w:eastAsia="宋体"/>
          <w:szCs w:val="21"/>
        </w:rPr>
      </w:pPr>
      <w:r>
        <w:rPr>
          <w:rFonts w:hint="eastAsia" w:ascii="宋体" w:hAnsi="宋体" w:eastAsia="宋体"/>
          <w:szCs w:val="21"/>
        </w:rPr>
        <w:t>16、闵行区图书馆荣获“上海市未成年人思想道德建设工作先进单位”</w:t>
      </w:r>
    </w:p>
    <w:p>
      <w:pPr>
        <w:spacing w:line="450" w:lineRule="exact"/>
        <w:rPr>
          <w:rFonts w:ascii="宋体" w:hAnsi="宋体" w:eastAsia="宋体"/>
          <w:szCs w:val="21"/>
        </w:rPr>
      </w:pPr>
      <w:r>
        <w:rPr>
          <w:rFonts w:hint="eastAsia" w:ascii="宋体" w:hAnsi="宋体" w:eastAsia="宋体"/>
          <w:szCs w:val="21"/>
        </w:rPr>
        <w:t>——上海市精神文明建设委员会2018年11月</w:t>
      </w:r>
    </w:p>
    <w:p>
      <w:pPr>
        <w:spacing w:line="450" w:lineRule="exact"/>
        <w:rPr>
          <w:rFonts w:ascii="宋体" w:hAnsi="宋体" w:eastAsia="宋体"/>
          <w:szCs w:val="21"/>
        </w:rPr>
      </w:pPr>
      <w:r>
        <w:rPr>
          <w:rFonts w:hint="eastAsia" w:ascii="宋体" w:hAnsi="宋体" w:eastAsia="宋体"/>
          <w:szCs w:val="21"/>
        </w:rPr>
        <w:t>17、闵行区图书馆荣获2018年度上海市中心图书馆“一卡通”区级成员馆少儿图书流通量第二名</w:t>
      </w:r>
    </w:p>
    <w:p>
      <w:pPr>
        <w:spacing w:line="450" w:lineRule="exact"/>
        <w:rPr>
          <w:rFonts w:ascii="宋体" w:hAnsi="宋体" w:eastAsia="宋体"/>
          <w:szCs w:val="21"/>
        </w:rPr>
      </w:pPr>
      <w:r>
        <w:rPr>
          <w:rFonts w:hint="eastAsia" w:ascii="宋体" w:hAnsi="宋体" w:eastAsia="宋体"/>
          <w:szCs w:val="21"/>
        </w:rPr>
        <w:t>——上海市文献资源共建共享协作网指导委员会办公室2018年12月</w:t>
      </w:r>
    </w:p>
    <w:p>
      <w:pPr>
        <w:spacing w:line="450" w:lineRule="exact"/>
        <w:rPr>
          <w:rFonts w:ascii="宋体" w:hAnsi="宋体" w:eastAsia="宋体"/>
          <w:szCs w:val="21"/>
        </w:rPr>
      </w:pPr>
      <w:r>
        <w:rPr>
          <w:rFonts w:hint="eastAsia" w:ascii="宋体" w:hAnsi="宋体" w:eastAsia="宋体"/>
          <w:szCs w:val="21"/>
        </w:rPr>
        <w:t>18、闵行区图书馆荣获2018年度上海市中心图书馆“一卡通”区级成员馆办证量第三名</w:t>
      </w:r>
    </w:p>
    <w:p>
      <w:pPr>
        <w:spacing w:line="450" w:lineRule="exact"/>
        <w:rPr>
          <w:rFonts w:ascii="宋体" w:hAnsi="宋体" w:eastAsia="宋体"/>
          <w:szCs w:val="21"/>
        </w:rPr>
      </w:pPr>
      <w:r>
        <w:rPr>
          <w:rFonts w:hint="eastAsia" w:ascii="宋体" w:hAnsi="宋体" w:eastAsia="宋体"/>
          <w:szCs w:val="21"/>
        </w:rPr>
        <w:t>——上海市文献资源共建共享协作网指导委员会办公室2018年12月</w:t>
      </w:r>
    </w:p>
    <w:p>
      <w:pPr>
        <w:spacing w:line="450" w:lineRule="exact"/>
        <w:rPr>
          <w:rFonts w:ascii="宋体" w:hAnsi="宋体" w:eastAsia="宋体"/>
          <w:szCs w:val="21"/>
        </w:rPr>
      </w:pPr>
      <w:r>
        <w:rPr>
          <w:rFonts w:hint="eastAsia" w:ascii="宋体" w:hAnsi="宋体" w:eastAsia="宋体"/>
          <w:szCs w:val="21"/>
        </w:rPr>
        <w:t>19、闵行区图书馆荣获2018年度上海市中心图书馆“一卡通”区级成员馆图书流通量第二名</w:t>
      </w:r>
    </w:p>
    <w:p>
      <w:pPr>
        <w:spacing w:line="450" w:lineRule="exact"/>
        <w:rPr>
          <w:rFonts w:ascii="宋体" w:hAnsi="宋体" w:eastAsia="宋体"/>
          <w:szCs w:val="21"/>
        </w:rPr>
      </w:pPr>
      <w:r>
        <w:rPr>
          <w:rFonts w:hint="eastAsia" w:ascii="宋体" w:hAnsi="宋体" w:eastAsia="宋体"/>
          <w:szCs w:val="21"/>
        </w:rPr>
        <w:t>——上海市文献资源共建共享协作网指导委员会办公室2018年12月</w:t>
      </w:r>
    </w:p>
    <w:p>
      <w:pPr>
        <w:spacing w:line="450" w:lineRule="exact"/>
        <w:rPr>
          <w:rFonts w:ascii="宋体" w:hAnsi="宋体" w:eastAsia="宋体"/>
          <w:szCs w:val="21"/>
        </w:rPr>
      </w:pPr>
      <w:r>
        <w:rPr>
          <w:rFonts w:hint="eastAsia" w:ascii="宋体" w:hAnsi="宋体" w:eastAsia="宋体"/>
          <w:szCs w:val="21"/>
        </w:rPr>
        <w:t>20、闵行区图书馆荣获2018年度上海市中心图书馆“一卡通”区级成员馆文献入藏量第三名</w:t>
      </w:r>
    </w:p>
    <w:p>
      <w:pPr>
        <w:spacing w:line="450" w:lineRule="exact"/>
        <w:rPr>
          <w:rFonts w:ascii="宋体" w:hAnsi="宋体" w:eastAsia="宋体"/>
          <w:szCs w:val="21"/>
        </w:rPr>
      </w:pPr>
      <w:r>
        <w:rPr>
          <w:rFonts w:hint="eastAsia" w:ascii="宋体" w:hAnsi="宋体" w:eastAsia="宋体"/>
          <w:szCs w:val="21"/>
        </w:rPr>
        <w:t>——上海市文献资源共建共享协作网指导委员会办公室2018年12月</w:t>
      </w:r>
    </w:p>
    <w:p>
      <w:pPr>
        <w:spacing w:line="450" w:lineRule="exact"/>
        <w:rPr>
          <w:rFonts w:ascii="宋体" w:hAnsi="宋体" w:eastAsia="宋体"/>
          <w:szCs w:val="21"/>
        </w:rPr>
      </w:pPr>
      <w:r>
        <w:rPr>
          <w:rFonts w:hint="eastAsia" w:ascii="宋体" w:hAnsi="宋体" w:eastAsia="宋体"/>
          <w:szCs w:val="21"/>
        </w:rPr>
        <w:t>21、闵行区图书馆荣获2018年度上海市中心图书馆“一卡通”区级成员馆读者流通量第二名</w:t>
      </w:r>
    </w:p>
    <w:p>
      <w:pPr>
        <w:spacing w:line="450" w:lineRule="exact"/>
        <w:rPr>
          <w:rFonts w:ascii="宋体" w:hAnsi="宋体" w:eastAsia="宋体"/>
          <w:szCs w:val="21"/>
        </w:rPr>
      </w:pPr>
      <w:r>
        <w:rPr>
          <w:rFonts w:hint="eastAsia" w:ascii="宋体" w:hAnsi="宋体" w:eastAsia="宋体"/>
          <w:szCs w:val="21"/>
        </w:rPr>
        <w:t>——上海市文献资源共建共享协作网指导委员会办公室2018年12月</w:t>
      </w:r>
    </w:p>
    <w:p>
      <w:pPr>
        <w:spacing w:line="450" w:lineRule="exact"/>
        <w:rPr>
          <w:rFonts w:ascii="宋体" w:hAnsi="宋体" w:eastAsia="宋体"/>
          <w:szCs w:val="21"/>
        </w:rPr>
      </w:pPr>
      <w:r>
        <w:rPr>
          <w:rFonts w:hint="eastAsia" w:ascii="宋体" w:hAnsi="宋体" w:eastAsia="宋体"/>
          <w:szCs w:val="21"/>
        </w:rPr>
        <w:t>22、闵行区图书馆荣获2018年度上海市中心图书馆工作先进集体</w:t>
      </w:r>
    </w:p>
    <w:p>
      <w:pPr>
        <w:spacing w:line="450" w:lineRule="exact"/>
        <w:rPr>
          <w:rFonts w:ascii="宋体" w:hAnsi="宋体" w:eastAsia="宋体"/>
          <w:szCs w:val="21"/>
        </w:rPr>
      </w:pPr>
      <w:r>
        <w:rPr>
          <w:rFonts w:hint="eastAsia" w:ascii="宋体" w:hAnsi="宋体" w:eastAsia="宋体"/>
          <w:szCs w:val="21"/>
        </w:rPr>
        <w:t>——上海图书馆2019年12月</w:t>
      </w:r>
    </w:p>
    <w:p>
      <w:pPr>
        <w:spacing w:line="450" w:lineRule="exact"/>
        <w:rPr>
          <w:rFonts w:ascii="宋体" w:hAnsi="宋体" w:eastAsia="宋体"/>
          <w:szCs w:val="21"/>
        </w:rPr>
      </w:pPr>
      <w:r>
        <w:rPr>
          <w:rFonts w:hint="eastAsia" w:ascii="宋体" w:hAnsi="宋体" w:eastAsia="宋体"/>
          <w:szCs w:val="21"/>
        </w:rPr>
        <w:t>23、闵行区图书馆荣获“岗位建新功、党员见行动”活动优秀党员示范岗</w:t>
      </w:r>
    </w:p>
    <w:p>
      <w:pPr>
        <w:spacing w:line="450" w:lineRule="exact"/>
        <w:rPr>
          <w:rFonts w:ascii="宋体" w:hAnsi="宋体" w:eastAsia="宋体"/>
          <w:szCs w:val="21"/>
        </w:rPr>
      </w:pPr>
      <w:r>
        <w:rPr>
          <w:rFonts w:hint="eastAsia" w:ascii="宋体" w:hAnsi="宋体" w:eastAsia="宋体"/>
          <w:szCs w:val="21"/>
        </w:rPr>
        <w:t>——中共闵行区委员会2018年6月</w:t>
      </w:r>
    </w:p>
    <w:p>
      <w:pPr>
        <w:spacing w:line="450" w:lineRule="exact"/>
        <w:rPr>
          <w:rFonts w:ascii="宋体" w:hAnsi="宋体" w:eastAsia="宋体"/>
          <w:szCs w:val="21"/>
        </w:rPr>
      </w:pPr>
      <w:r>
        <w:rPr>
          <w:rFonts w:hint="eastAsia" w:ascii="宋体" w:hAnsi="宋体" w:eastAsia="宋体"/>
          <w:szCs w:val="21"/>
        </w:rPr>
        <w:t>24、闵行区图书馆荣获闵行区五星党支部</w:t>
      </w:r>
    </w:p>
    <w:p>
      <w:pPr>
        <w:spacing w:line="450" w:lineRule="exact"/>
        <w:rPr>
          <w:rFonts w:ascii="宋体" w:hAnsi="宋体" w:eastAsia="宋体"/>
          <w:szCs w:val="21"/>
        </w:rPr>
      </w:pPr>
      <w:r>
        <w:rPr>
          <w:rFonts w:hint="eastAsia" w:ascii="宋体" w:hAnsi="宋体" w:eastAsia="宋体"/>
          <w:szCs w:val="21"/>
        </w:rPr>
        <w:t>——中共闵行区委员会2018年6月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93E05"/>
    <w:multiLevelType w:val="multilevel"/>
    <w:tmpl w:val="03893E05"/>
    <w:lvl w:ilvl="0" w:tentative="0">
      <w:start w:val="2"/>
      <w:numFmt w:val="japaneseCounting"/>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D467363"/>
    <w:multiLevelType w:val="multilevel"/>
    <w:tmpl w:val="0D467363"/>
    <w:lvl w:ilvl="0" w:tentative="0">
      <w:start w:val="9"/>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E761E60"/>
    <w:multiLevelType w:val="multilevel"/>
    <w:tmpl w:val="5E761E60"/>
    <w:lvl w:ilvl="0" w:tentative="0">
      <w:start w:val="1"/>
      <w:numFmt w:val="decimal"/>
      <w:lvlText w:val="%1、"/>
      <w:lvlJc w:val="left"/>
      <w:pPr>
        <w:ind w:left="872" w:hanging="39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kNDM2MGZjZWY4MDEyNjU2MjljYzgyZTBmODc1MzkifQ=="/>
  </w:docVars>
  <w:rsids>
    <w:rsidRoot w:val="007429D7"/>
    <w:rsid w:val="00005459"/>
    <w:rsid w:val="00005F47"/>
    <w:rsid w:val="00007F3A"/>
    <w:rsid w:val="00007F68"/>
    <w:rsid w:val="00011263"/>
    <w:rsid w:val="00012465"/>
    <w:rsid w:val="000271CB"/>
    <w:rsid w:val="00042245"/>
    <w:rsid w:val="00051902"/>
    <w:rsid w:val="00052831"/>
    <w:rsid w:val="00054A53"/>
    <w:rsid w:val="00056A5B"/>
    <w:rsid w:val="00060948"/>
    <w:rsid w:val="000639AE"/>
    <w:rsid w:val="00071A54"/>
    <w:rsid w:val="00072110"/>
    <w:rsid w:val="00086174"/>
    <w:rsid w:val="00086764"/>
    <w:rsid w:val="00086A9D"/>
    <w:rsid w:val="00092768"/>
    <w:rsid w:val="000A1713"/>
    <w:rsid w:val="000A281E"/>
    <w:rsid w:val="000A3518"/>
    <w:rsid w:val="000A4BBB"/>
    <w:rsid w:val="000A5844"/>
    <w:rsid w:val="000A6B9D"/>
    <w:rsid w:val="000B0B6F"/>
    <w:rsid w:val="000C1EC0"/>
    <w:rsid w:val="000C2EB7"/>
    <w:rsid w:val="000C4332"/>
    <w:rsid w:val="000D3F4E"/>
    <w:rsid w:val="000E29E2"/>
    <w:rsid w:val="000E7044"/>
    <w:rsid w:val="000F321F"/>
    <w:rsid w:val="000F3DBC"/>
    <w:rsid w:val="00101B5F"/>
    <w:rsid w:val="00121998"/>
    <w:rsid w:val="00122964"/>
    <w:rsid w:val="001230D7"/>
    <w:rsid w:val="00135EA5"/>
    <w:rsid w:val="00140100"/>
    <w:rsid w:val="0014180F"/>
    <w:rsid w:val="0014248B"/>
    <w:rsid w:val="00145766"/>
    <w:rsid w:val="001476BA"/>
    <w:rsid w:val="00155167"/>
    <w:rsid w:val="00155CED"/>
    <w:rsid w:val="001609AD"/>
    <w:rsid w:val="00165B18"/>
    <w:rsid w:val="00172631"/>
    <w:rsid w:val="00177534"/>
    <w:rsid w:val="00185E39"/>
    <w:rsid w:val="0019212B"/>
    <w:rsid w:val="001A0744"/>
    <w:rsid w:val="001A1430"/>
    <w:rsid w:val="001A2345"/>
    <w:rsid w:val="001B006A"/>
    <w:rsid w:val="001B6E8D"/>
    <w:rsid w:val="001C7D24"/>
    <w:rsid w:val="001D00DE"/>
    <w:rsid w:val="001D1373"/>
    <w:rsid w:val="001D1DD8"/>
    <w:rsid w:val="001D5B33"/>
    <w:rsid w:val="001D7136"/>
    <w:rsid w:val="001E41A0"/>
    <w:rsid w:val="001F4560"/>
    <w:rsid w:val="001F6E94"/>
    <w:rsid w:val="00204697"/>
    <w:rsid w:val="00205939"/>
    <w:rsid w:val="00207DCE"/>
    <w:rsid w:val="00211447"/>
    <w:rsid w:val="00212080"/>
    <w:rsid w:val="00215B4D"/>
    <w:rsid w:val="00215F96"/>
    <w:rsid w:val="00224274"/>
    <w:rsid w:val="00227378"/>
    <w:rsid w:val="002316E0"/>
    <w:rsid w:val="00231C94"/>
    <w:rsid w:val="002371B5"/>
    <w:rsid w:val="00242ACD"/>
    <w:rsid w:val="00251577"/>
    <w:rsid w:val="0026142C"/>
    <w:rsid w:val="00262370"/>
    <w:rsid w:val="0026428B"/>
    <w:rsid w:val="002705FB"/>
    <w:rsid w:val="00271EDD"/>
    <w:rsid w:val="00272A3A"/>
    <w:rsid w:val="00273B8B"/>
    <w:rsid w:val="00273BBC"/>
    <w:rsid w:val="002745EA"/>
    <w:rsid w:val="00274883"/>
    <w:rsid w:val="00275668"/>
    <w:rsid w:val="00281B6D"/>
    <w:rsid w:val="00286161"/>
    <w:rsid w:val="00292DA6"/>
    <w:rsid w:val="00295021"/>
    <w:rsid w:val="002957DE"/>
    <w:rsid w:val="002C25EE"/>
    <w:rsid w:val="002C271B"/>
    <w:rsid w:val="002C60EF"/>
    <w:rsid w:val="002D29F2"/>
    <w:rsid w:val="002D2F39"/>
    <w:rsid w:val="002E3A86"/>
    <w:rsid w:val="002E4255"/>
    <w:rsid w:val="002E72A7"/>
    <w:rsid w:val="002F0B62"/>
    <w:rsid w:val="002F3DB9"/>
    <w:rsid w:val="002F6210"/>
    <w:rsid w:val="002F7D0C"/>
    <w:rsid w:val="00307420"/>
    <w:rsid w:val="00314E5B"/>
    <w:rsid w:val="00315200"/>
    <w:rsid w:val="00315937"/>
    <w:rsid w:val="0031626C"/>
    <w:rsid w:val="00316AAC"/>
    <w:rsid w:val="00323DBA"/>
    <w:rsid w:val="0032454A"/>
    <w:rsid w:val="003248FB"/>
    <w:rsid w:val="00327352"/>
    <w:rsid w:val="00330A1E"/>
    <w:rsid w:val="00332277"/>
    <w:rsid w:val="00335DCF"/>
    <w:rsid w:val="00342AA3"/>
    <w:rsid w:val="0035081D"/>
    <w:rsid w:val="0035679C"/>
    <w:rsid w:val="00357520"/>
    <w:rsid w:val="00361946"/>
    <w:rsid w:val="00361D51"/>
    <w:rsid w:val="00361DF9"/>
    <w:rsid w:val="00362AD6"/>
    <w:rsid w:val="003747AE"/>
    <w:rsid w:val="00374DCA"/>
    <w:rsid w:val="00377ECB"/>
    <w:rsid w:val="00380821"/>
    <w:rsid w:val="00383E8A"/>
    <w:rsid w:val="003A03F1"/>
    <w:rsid w:val="003A1CD1"/>
    <w:rsid w:val="003B537E"/>
    <w:rsid w:val="003D05EA"/>
    <w:rsid w:val="003D4F98"/>
    <w:rsid w:val="003D60AC"/>
    <w:rsid w:val="003E4B27"/>
    <w:rsid w:val="003E527A"/>
    <w:rsid w:val="003E60BC"/>
    <w:rsid w:val="0040596E"/>
    <w:rsid w:val="00417EE5"/>
    <w:rsid w:val="0042580F"/>
    <w:rsid w:val="00425F6D"/>
    <w:rsid w:val="00427049"/>
    <w:rsid w:val="00433292"/>
    <w:rsid w:val="004366DA"/>
    <w:rsid w:val="00445399"/>
    <w:rsid w:val="00451C3B"/>
    <w:rsid w:val="004566AE"/>
    <w:rsid w:val="0047366A"/>
    <w:rsid w:val="0048090F"/>
    <w:rsid w:val="00481F7E"/>
    <w:rsid w:val="0048739E"/>
    <w:rsid w:val="004A18CA"/>
    <w:rsid w:val="004A6415"/>
    <w:rsid w:val="004A68A6"/>
    <w:rsid w:val="004C32D5"/>
    <w:rsid w:val="004D3720"/>
    <w:rsid w:val="004D4278"/>
    <w:rsid w:val="004D72EF"/>
    <w:rsid w:val="004E2A5B"/>
    <w:rsid w:val="00504AEB"/>
    <w:rsid w:val="00506D23"/>
    <w:rsid w:val="005137DA"/>
    <w:rsid w:val="00516477"/>
    <w:rsid w:val="0052784E"/>
    <w:rsid w:val="005324FF"/>
    <w:rsid w:val="00532FFA"/>
    <w:rsid w:val="00537C0F"/>
    <w:rsid w:val="00540ECF"/>
    <w:rsid w:val="00546CE0"/>
    <w:rsid w:val="00561923"/>
    <w:rsid w:val="0058656D"/>
    <w:rsid w:val="00587597"/>
    <w:rsid w:val="00590ED5"/>
    <w:rsid w:val="0059345B"/>
    <w:rsid w:val="00596702"/>
    <w:rsid w:val="005A2150"/>
    <w:rsid w:val="005A47EA"/>
    <w:rsid w:val="005A755D"/>
    <w:rsid w:val="005A7771"/>
    <w:rsid w:val="005B39FE"/>
    <w:rsid w:val="005B4177"/>
    <w:rsid w:val="005B5C8C"/>
    <w:rsid w:val="005C31C3"/>
    <w:rsid w:val="005C3B90"/>
    <w:rsid w:val="005C7481"/>
    <w:rsid w:val="005D0B12"/>
    <w:rsid w:val="005D2A2C"/>
    <w:rsid w:val="005E1AD1"/>
    <w:rsid w:val="005E3A84"/>
    <w:rsid w:val="005E7ED3"/>
    <w:rsid w:val="005F1EBB"/>
    <w:rsid w:val="005F7B2E"/>
    <w:rsid w:val="00621712"/>
    <w:rsid w:val="00623DBF"/>
    <w:rsid w:val="006244C8"/>
    <w:rsid w:val="00632BD6"/>
    <w:rsid w:val="00642CCD"/>
    <w:rsid w:val="006455FE"/>
    <w:rsid w:val="00646812"/>
    <w:rsid w:val="00650E0D"/>
    <w:rsid w:val="006540F1"/>
    <w:rsid w:val="0066037F"/>
    <w:rsid w:val="00662392"/>
    <w:rsid w:val="00662665"/>
    <w:rsid w:val="00665F3F"/>
    <w:rsid w:val="00674441"/>
    <w:rsid w:val="006749F4"/>
    <w:rsid w:val="00677B5B"/>
    <w:rsid w:val="00685091"/>
    <w:rsid w:val="0068639E"/>
    <w:rsid w:val="006930F2"/>
    <w:rsid w:val="006A4EE5"/>
    <w:rsid w:val="006A53D4"/>
    <w:rsid w:val="006A7EAE"/>
    <w:rsid w:val="006B4144"/>
    <w:rsid w:val="006B443F"/>
    <w:rsid w:val="006B79E0"/>
    <w:rsid w:val="006C71ED"/>
    <w:rsid w:val="006D4C99"/>
    <w:rsid w:val="006E1C0C"/>
    <w:rsid w:val="006E3532"/>
    <w:rsid w:val="006E4C3E"/>
    <w:rsid w:val="006F05BC"/>
    <w:rsid w:val="006F12FC"/>
    <w:rsid w:val="006F282D"/>
    <w:rsid w:val="006F57BF"/>
    <w:rsid w:val="006F74D6"/>
    <w:rsid w:val="0070283A"/>
    <w:rsid w:val="007029DF"/>
    <w:rsid w:val="00720111"/>
    <w:rsid w:val="00720315"/>
    <w:rsid w:val="00720845"/>
    <w:rsid w:val="0072220A"/>
    <w:rsid w:val="00724D26"/>
    <w:rsid w:val="00731236"/>
    <w:rsid w:val="00733150"/>
    <w:rsid w:val="00734621"/>
    <w:rsid w:val="00740895"/>
    <w:rsid w:val="007429D7"/>
    <w:rsid w:val="00742AA2"/>
    <w:rsid w:val="00743487"/>
    <w:rsid w:val="007449C3"/>
    <w:rsid w:val="00752009"/>
    <w:rsid w:val="00753735"/>
    <w:rsid w:val="00753B81"/>
    <w:rsid w:val="00764FA2"/>
    <w:rsid w:val="0077074E"/>
    <w:rsid w:val="00773B5B"/>
    <w:rsid w:val="007855B4"/>
    <w:rsid w:val="0079087B"/>
    <w:rsid w:val="0079408A"/>
    <w:rsid w:val="007A1B26"/>
    <w:rsid w:val="007A2B48"/>
    <w:rsid w:val="007C6315"/>
    <w:rsid w:val="007D4C7E"/>
    <w:rsid w:val="007F780C"/>
    <w:rsid w:val="0080492C"/>
    <w:rsid w:val="00806363"/>
    <w:rsid w:val="00823213"/>
    <w:rsid w:val="008236AB"/>
    <w:rsid w:val="00831240"/>
    <w:rsid w:val="008335AB"/>
    <w:rsid w:val="008436C2"/>
    <w:rsid w:val="00844A47"/>
    <w:rsid w:val="008573CA"/>
    <w:rsid w:val="00863523"/>
    <w:rsid w:val="008679BA"/>
    <w:rsid w:val="00873D20"/>
    <w:rsid w:val="0088206F"/>
    <w:rsid w:val="00892BB7"/>
    <w:rsid w:val="008A001D"/>
    <w:rsid w:val="008A096B"/>
    <w:rsid w:val="008B33B0"/>
    <w:rsid w:val="008B5003"/>
    <w:rsid w:val="008C3A1F"/>
    <w:rsid w:val="008D340A"/>
    <w:rsid w:val="008D4B7F"/>
    <w:rsid w:val="008E1486"/>
    <w:rsid w:val="008E2CFC"/>
    <w:rsid w:val="008E5F00"/>
    <w:rsid w:val="008E72E8"/>
    <w:rsid w:val="008E7579"/>
    <w:rsid w:val="008F1D5C"/>
    <w:rsid w:val="008F418D"/>
    <w:rsid w:val="00904BF6"/>
    <w:rsid w:val="00905411"/>
    <w:rsid w:val="00911564"/>
    <w:rsid w:val="00913C62"/>
    <w:rsid w:val="00913DC9"/>
    <w:rsid w:val="009152DA"/>
    <w:rsid w:val="00921DAA"/>
    <w:rsid w:val="00935122"/>
    <w:rsid w:val="00942688"/>
    <w:rsid w:val="0094583E"/>
    <w:rsid w:val="009459D8"/>
    <w:rsid w:val="0095298B"/>
    <w:rsid w:val="00963326"/>
    <w:rsid w:val="0096408D"/>
    <w:rsid w:val="009707A7"/>
    <w:rsid w:val="00983742"/>
    <w:rsid w:val="00983BD9"/>
    <w:rsid w:val="009908E4"/>
    <w:rsid w:val="0099118E"/>
    <w:rsid w:val="00991719"/>
    <w:rsid w:val="009A131B"/>
    <w:rsid w:val="009A281F"/>
    <w:rsid w:val="009A385C"/>
    <w:rsid w:val="009A6047"/>
    <w:rsid w:val="009A650C"/>
    <w:rsid w:val="009B1A83"/>
    <w:rsid w:val="009C6930"/>
    <w:rsid w:val="009D65F6"/>
    <w:rsid w:val="009E01B5"/>
    <w:rsid w:val="009E5891"/>
    <w:rsid w:val="009F79AD"/>
    <w:rsid w:val="00A12155"/>
    <w:rsid w:val="00A26E76"/>
    <w:rsid w:val="00A3427C"/>
    <w:rsid w:val="00A425B0"/>
    <w:rsid w:val="00A426F7"/>
    <w:rsid w:val="00A42BAA"/>
    <w:rsid w:val="00A4490B"/>
    <w:rsid w:val="00A44F87"/>
    <w:rsid w:val="00A4743C"/>
    <w:rsid w:val="00A507E8"/>
    <w:rsid w:val="00A634C2"/>
    <w:rsid w:val="00A66FC0"/>
    <w:rsid w:val="00A709D0"/>
    <w:rsid w:val="00A80005"/>
    <w:rsid w:val="00A80098"/>
    <w:rsid w:val="00A80FDF"/>
    <w:rsid w:val="00A85F68"/>
    <w:rsid w:val="00A906EF"/>
    <w:rsid w:val="00A92F37"/>
    <w:rsid w:val="00A94C3B"/>
    <w:rsid w:val="00A95C68"/>
    <w:rsid w:val="00AA5B4B"/>
    <w:rsid w:val="00AA6A2E"/>
    <w:rsid w:val="00AB2D24"/>
    <w:rsid w:val="00AB4DD4"/>
    <w:rsid w:val="00AC7FC6"/>
    <w:rsid w:val="00AD7F92"/>
    <w:rsid w:val="00AE2A23"/>
    <w:rsid w:val="00AE4E10"/>
    <w:rsid w:val="00AE536B"/>
    <w:rsid w:val="00AF5290"/>
    <w:rsid w:val="00AF5C33"/>
    <w:rsid w:val="00B000DA"/>
    <w:rsid w:val="00B02CD3"/>
    <w:rsid w:val="00B05B1C"/>
    <w:rsid w:val="00B069E5"/>
    <w:rsid w:val="00B12977"/>
    <w:rsid w:val="00B1485F"/>
    <w:rsid w:val="00B203AF"/>
    <w:rsid w:val="00B37FF4"/>
    <w:rsid w:val="00B41CE0"/>
    <w:rsid w:val="00B53041"/>
    <w:rsid w:val="00B66FB6"/>
    <w:rsid w:val="00B73363"/>
    <w:rsid w:val="00B733B1"/>
    <w:rsid w:val="00B73E21"/>
    <w:rsid w:val="00B93682"/>
    <w:rsid w:val="00BA0DCD"/>
    <w:rsid w:val="00BB12AC"/>
    <w:rsid w:val="00BB47BC"/>
    <w:rsid w:val="00BB7478"/>
    <w:rsid w:val="00BC0E80"/>
    <w:rsid w:val="00BC1CEB"/>
    <w:rsid w:val="00BC52F9"/>
    <w:rsid w:val="00BD481B"/>
    <w:rsid w:val="00BD5B0D"/>
    <w:rsid w:val="00BE0EEC"/>
    <w:rsid w:val="00BF1DE1"/>
    <w:rsid w:val="00BF1E32"/>
    <w:rsid w:val="00BF736C"/>
    <w:rsid w:val="00BF799C"/>
    <w:rsid w:val="00C01AF8"/>
    <w:rsid w:val="00C030E1"/>
    <w:rsid w:val="00C10CAB"/>
    <w:rsid w:val="00C10E83"/>
    <w:rsid w:val="00C20356"/>
    <w:rsid w:val="00C31E10"/>
    <w:rsid w:val="00C35DEA"/>
    <w:rsid w:val="00C40304"/>
    <w:rsid w:val="00C4046E"/>
    <w:rsid w:val="00C447A2"/>
    <w:rsid w:val="00C54C87"/>
    <w:rsid w:val="00C67643"/>
    <w:rsid w:val="00C731B9"/>
    <w:rsid w:val="00C83E89"/>
    <w:rsid w:val="00C87501"/>
    <w:rsid w:val="00C9225C"/>
    <w:rsid w:val="00C93051"/>
    <w:rsid w:val="00C94D96"/>
    <w:rsid w:val="00C96094"/>
    <w:rsid w:val="00CA1EFD"/>
    <w:rsid w:val="00CA2D48"/>
    <w:rsid w:val="00CA3225"/>
    <w:rsid w:val="00CA428A"/>
    <w:rsid w:val="00CA547A"/>
    <w:rsid w:val="00CB1012"/>
    <w:rsid w:val="00CB398C"/>
    <w:rsid w:val="00CB454E"/>
    <w:rsid w:val="00CB4F41"/>
    <w:rsid w:val="00CB6410"/>
    <w:rsid w:val="00CC57E3"/>
    <w:rsid w:val="00CD262D"/>
    <w:rsid w:val="00CE0046"/>
    <w:rsid w:val="00CE3857"/>
    <w:rsid w:val="00CE6FC9"/>
    <w:rsid w:val="00CF206B"/>
    <w:rsid w:val="00CF437D"/>
    <w:rsid w:val="00D026BC"/>
    <w:rsid w:val="00D0313C"/>
    <w:rsid w:val="00D10B19"/>
    <w:rsid w:val="00D11544"/>
    <w:rsid w:val="00D169B1"/>
    <w:rsid w:val="00D20AF6"/>
    <w:rsid w:val="00D26CE0"/>
    <w:rsid w:val="00D30847"/>
    <w:rsid w:val="00D325EC"/>
    <w:rsid w:val="00D35253"/>
    <w:rsid w:val="00D40081"/>
    <w:rsid w:val="00D530E5"/>
    <w:rsid w:val="00D55DA4"/>
    <w:rsid w:val="00D70D44"/>
    <w:rsid w:val="00D7700F"/>
    <w:rsid w:val="00D77295"/>
    <w:rsid w:val="00D83C25"/>
    <w:rsid w:val="00D85FB8"/>
    <w:rsid w:val="00D93E29"/>
    <w:rsid w:val="00D93FC6"/>
    <w:rsid w:val="00DA12A2"/>
    <w:rsid w:val="00DA458A"/>
    <w:rsid w:val="00DA5517"/>
    <w:rsid w:val="00DA66F5"/>
    <w:rsid w:val="00DC55F1"/>
    <w:rsid w:val="00DD520F"/>
    <w:rsid w:val="00DE101F"/>
    <w:rsid w:val="00DE5D43"/>
    <w:rsid w:val="00DF21EF"/>
    <w:rsid w:val="00DF3460"/>
    <w:rsid w:val="00DF6094"/>
    <w:rsid w:val="00E01E65"/>
    <w:rsid w:val="00E0336D"/>
    <w:rsid w:val="00E1139B"/>
    <w:rsid w:val="00E134A4"/>
    <w:rsid w:val="00E13618"/>
    <w:rsid w:val="00E21A0F"/>
    <w:rsid w:val="00E2331C"/>
    <w:rsid w:val="00E26D5F"/>
    <w:rsid w:val="00E31A2D"/>
    <w:rsid w:val="00E340B0"/>
    <w:rsid w:val="00E35D2D"/>
    <w:rsid w:val="00E37B36"/>
    <w:rsid w:val="00E44358"/>
    <w:rsid w:val="00E45DD0"/>
    <w:rsid w:val="00E6395F"/>
    <w:rsid w:val="00E75F97"/>
    <w:rsid w:val="00E819F3"/>
    <w:rsid w:val="00E90B02"/>
    <w:rsid w:val="00E94AB7"/>
    <w:rsid w:val="00EA16A6"/>
    <w:rsid w:val="00EA1B6B"/>
    <w:rsid w:val="00EA5094"/>
    <w:rsid w:val="00EA652A"/>
    <w:rsid w:val="00EA7515"/>
    <w:rsid w:val="00EB6395"/>
    <w:rsid w:val="00EB6B05"/>
    <w:rsid w:val="00EC69DC"/>
    <w:rsid w:val="00ED19C4"/>
    <w:rsid w:val="00ED5830"/>
    <w:rsid w:val="00EE1731"/>
    <w:rsid w:val="00EE1E7A"/>
    <w:rsid w:val="00EE3CE5"/>
    <w:rsid w:val="00EF224E"/>
    <w:rsid w:val="00EF4103"/>
    <w:rsid w:val="00F077FE"/>
    <w:rsid w:val="00F1722A"/>
    <w:rsid w:val="00F17D06"/>
    <w:rsid w:val="00F24037"/>
    <w:rsid w:val="00F34C3B"/>
    <w:rsid w:val="00F37345"/>
    <w:rsid w:val="00F430F8"/>
    <w:rsid w:val="00F43506"/>
    <w:rsid w:val="00F44C24"/>
    <w:rsid w:val="00F534C6"/>
    <w:rsid w:val="00F5593F"/>
    <w:rsid w:val="00F57467"/>
    <w:rsid w:val="00F70D4E"/>
    <w:rsid w:val="00F73EAA"/>
    <w:rsid w:val="00F9210D"/>
    <w:rsid w:val="00F95F8A"/>
    <w:rsid w:val="00FA4344"/>
    <w:rsid w:val="00FA52A5"/>
    <w:rsid w:val="00FB056E"/>
    <w:rsid w:val="00FB3A91"/>
    <w:rsid w:val="00FB3BF2"/>
    <w:rsid w:val="00FC1FCF"/>
    <w:rsid w:val="00FC280B"/>
    <w:rsid w:val="00FD0FAF"/>
    <w:rsid w:val="00FD7BE9"/>
    <w:rsid w:val="00FE0E95"/>
    <w:rsid w:val="00FE7A41"/>
    <w:rsid w:val="00FF337C"/>
    <w:rsid w:val="6F94339B"/>
    <w:rsid w:val="759B6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4"/>
    <w:basedOn w:val="1"/>
    <w:next w:val="1"/>
    <w:link w:val="4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38"/>
    <w:semiHidden/>
    <w:unhideWhenUsed/>
    <w:uiPriority w:val="99"/>
    <w:pPr>
      <w:widowControl/>
      <w:adjustRightInd w:val="0"/>
      <w:snapToGrid w:val="0"/>
      <w:ind w:firstLine="200" w:firstLineChars="200"/>
      <w:jc w:val="left"/>
    </w:pPr>
    <w:rPr>
      <w:rFonts w:ascii="Tahoma" w:hAnsi="Tahoma" w:eastAsia="微软雅黑"/>
      <w:kern w:val="0"/>
      <w:sz w:val="18"/>
      <w:szCs w:val="18"/>
    </w:rPr>
  </w:style>
  <w:style w:type="paragraph" w:styleId="5">
    <w:name w:val="footer"/>
    <w:basedOn w:val="1"/>
    <w:link w:val="16"/>
    <w:unhideWhenUsed/>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ind w:firstLine="200" w:firstLineChars="200"/>
      <w:jc w:val="left"/>
    </w:pPr>
    <w:rPr>
      <w:rFonts w:ascii="宋体" w:hAnsi="宋体" w:eastAsia="宋体" w:cs="宋体"/>
      <w:kern w:val="0"/>
      <w:sz w:val="24"/>
      <w:szCs w:val="24"/>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FollowedHyperlink"/>
    <w:basedOn w:val="10"/>
    <w:semiHidden/>
    <w:unhideWhenUsed/>
    <w:uiPriority w:val="99"/>
    <w:rPr>
      <w:color w:val="800080"/>
      <w:u w:val="single"/>
    </w:rPr>
  </w:style>
  <w:style w:type="character" w:styleId="13">
    <w:name w:val="Hyperlink"/>
    <w:basedOn w:val="10"/>
    <w:semiHidden/>
    <w:unhideWhenUsed/>
    <w:uiPriority w:val="99"/>
    <w:rPr>
      <w:color w:val="0000FF"/>
      <w:u w:val="single"/>
    </w:rPr>
  </w:style>
  <w:style w:type="paragraph" w:styleId="14">
    <w:name w:val="List Paragraph"/>
    <w:basedOn w:val="1"/>
    <w:qFormat/>
    <w:uiPriority w:val="34"/>
    <w:pPr>
      <w:ind w:firstLine="420" w:firstLineChars="200"/>
    </w:pPr>
  </w:style>
  <w:style w:type="character" w:customStyle="1" w:styleId="15">
    <w:name w:val="页眉 Char"/>
    <w:basedOn w:val="10"/>
    <w:link w:val="6"/>
    <w:uiPriority w:val="99"/>
    <w:rPr>
      <w:sz w:val="18"/>
      <w:szCs w:val="18"/>
    </w:rPr>
  </w:style>
  <w:style w:type="character" w:customStyle="1" w:styleId="16">
    <w:name w:val="页脚 Char"/>
    <w:basedOn w:val="10"/>
    <w:link w:val="5"/>
    <w:uiPriority w:val="99"/>
    <w:rPr>
      <w:sz w:val="18"/>
      <w:szCs w:val="18"/>
    </w:rPr>
  </w:style>
  <w:style w:type="paragraph" w:customStyle="1" w:styleId="17">
    <w:name w:val="Defaul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paragraph" w:customStyle="1" w:styleId="18">
    <w:name w:val="font5"/>
    <w:basedOn w:val="1"/>
    <w:uiPriority w:val="0"/>
    <w:pPr>
      <w:widowControl/>
      <w:spacing w:before="100" w:beforeAutospacing="1" w:after="100" w:afterAutospacing="1"/>
      <w:ind w:firstLine="200" w:firstLineChars="200"/>
      <w:jc w:val="left"/>
    </w:pPr>
    <w:rPr>
      <w:rFonts w:ascii="宋体" w:hAnsi="宋体" w:eastAsia="宋体" w:cs="宋体"/>
      <w:kern w:val="0"/>
      <w:sz w:val="18"/>
      <w:szCs w:val="18"/>
    </w:rPr>
  </w:style>
  <w:style w:type="paragraph" w:customStyle="1" w:styleId="19">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20">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1">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4"/>
      <w:szCs w:val="24"/>
    </w:rPr>
  </w:style>
  <w:style w:type="paragraph" w:customStyle="1" w:styleId="22">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23">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4">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5">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18"/>
      <w:szCs w:val="18"/>
    </w:rPr>
  </w:style>
  <w:style w:type="paragraph" w:customStyle="1" w:styleId="26">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7">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28">
    <w:name w:val="xl116"/>
    <w:basedOn w:val="1"/>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9">
    <w:name w:val="xl117"/>
    <w:basedOn w:val="1"/>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30">
    <w:name w:val="xl118"/>
    <w:basedOn w:val="1"/>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31">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32">
    <w:name w:val="xl120"/>
    <w:basedOn w:val="1"/>
    <w:uiPriority w:val="0"/>
    <w:pPr>
      <w:widowControl/>
      <w:pBdr>
        <w:bottom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3">
    <w:name w:val="xl121"/>
    <w:basedOn w:val="1"/>
    <w:qFormat/>
    <w:uiPriority w:val="0"/>
    <w:pPr>
      <w:widowControl/>
      <w:pBdr>
        <w:top w:val="single" w:color="auto" w:sz="4" w:space="0"/>
        <w:lef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34">
    <w:name w:val="xl122"/>
    <w:basedOn w:val="1"/>
    <w:qFormat/>
    <w:uiPriority w:val="0"/>
    <w:pPr>
      <w:widowControl/>
      <w:pBdr>
        <w:top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5">
    <w:name w:val="xl123"/>
    <w:basedOn w:val="1"/>
    <w:qFormat/>
    <w:uiPriority w:val="0"/>
    <w:pPr>
      <w:widowControl/>
      <w:pBdr>
        <w:top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6">
    <w:name w:val="xl124"/>
    <w:basedOn w:val="1"/>
    <w:uiPriority w:val="0"/>
    <w:pPr>
      <w:widowControl/>
      <w:pBdr>
        <w:left w:val="single" w:color="auto" w:sz="4" w:space="0"/>
        <w:bottom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7">
    <w:name w:val="xl125"/>
    <w:basedOn w:val="1"/>
    <w:uiPriority w:val="0"/>
    <w:pPr>
      <w:widowControl/>
      <w:pBdr>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character" w:customStyle="1" w:styleId="38">
    <w:name w:val="批注框文本 Char"/>
    <w:basedOn w:val="10"/>
    <w:link w:val="4"/>
    <w:semiHidden/>
    <w:uiPriority w:val="99"/>
    <w:rPr>
      <w:rFonts w:ascii="Tahoma" w:hAnsi="Tahoma" w:eastAsia="微软雅黑"/>
      <w:kern w:val="0"/>
      <w:sz w:val="18"/>
      <w:szCs w:val="18"/>
    </w:rPr>
  </w:style>
  <w:style w:type="character" w:customStyle="1" w:styleId="39">
    <w:name w:val="标题 1 Char"/>
    <w:basedOn w:val="10"/>
    <w:link w:val="2"/>
    <w:uiPriority w:val="0"/>
    <w:rPr>
      <w:rFonts w:ascii="Times New Roman" w:hAnsi="Times New Roman" w:eastAsia="宋体" w:cs="Times New Roman"/>
      <w:b/>
      <w:bCs/>
      <w:kern w:val="44"/>
      <w:sz w:val="44"/>
      <w:szCs w:val="44"/>
    </w:rPr>
  </w:style>
  <w:style w:type="paragraph" w:customStyle="1" w:styleId="40">
    <w:name w:val="p0"/>
    <w:basedOn w:val="1"/>
    <w:uiPriority w:val="0"/>
    <w:pPr>
      <w:widowControl/>
    </w:pPr>
    <w:rPr>
      <w:rFonts w:ascii="Calibri" w:hAnsi="Calibri" w:eastAsia="宋体" w:cs="宋体"/>
      <w:kern w:val="0"/>
      <w:szCs w:val="21"/>
    </w:rPr>
  </w:style>
  <w:style w:type="character" w:customStyle="1" w:styleId="41">
    <w:name w:val="标题 4 Char"/>
    <w:basedOn w:val="10"/>
    <w:link w:val="3"/>
    <w:semiHidden/>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microsoft.com/office/2007/relationships/hdphoto" Target="media/image13.wdp"/><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43FC2-0C17-4592-8C2A-CB26D95AE32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18086</Words>
  <Characters>20264</Characters>
  <Lines>155</Lines>
  <Paragraphs>43</Paragraphs>
  <TotalTime>77</TotalTime>
  <ScaleCrop>false</ScaleCrop>
  <LinksUpToDate>false</LinksUpToDate>
  <CharactersWithSpaces>20467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2022-08-19T02:44:00Z</dcterms:created>
  <dc:creator>微软用户</dc:creator>
  <cp:lastModifiedBy>Tan</cp:lastModifiedBy>
  <dcterms:modified xsi:type="dcterms:W3CDTF">2022-08-26T07:21:18Z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00DE679F7C524760BE0A6A1C5FA8FED5</vt:lpwstr>
  </property>
</Properties>
</file>